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NIO</w:t>
      </w:r>
      <w:r>
        <w:rPr>
          <w:rFonts w:ascii="Calibri" w:hAnsi="Calibri"/>
          <w:b/>
          <w:color w:val="1A2010"/>
          <w:sz w:val="40"/>
        </w:rPr>
        <w:t xml:space="preserve">  NIO Inc.</w:t>
      </w:r>
    </w:p>
    <w:p>
      <w:pPr>
        <w:spacing w:after="120"/>
      </w:pPr>
      <w:r>
        <w:rPr>
          <w:rFonts w:ascii="Calibri" w:hAnsi="Calibri"/>
          <w:b/>
          <w:color w:val="6E8450"/>
          <w:sz w:val="18"/>
        </w:rPr>
        <w:t>GROWTH SLEEVE · 2026-05-12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Auto Manufacturers · NYSE · China</w:t>
      </w:r>
    </w:p>
    <w:p>
      <w:pPr>
        <w:spacing w:after="80"/>
      </w:pPr>
      <w:r>
        <w:rPr>
          <w:rFonts w:ascii="Calibri" w:hAnsi="Calibri"/>
          <w:b w:val="0"/>
          <w:color w:val="3A4A28"/>
          <w:sz w:val="20"/>
        </w:rPr>
        <w:t>NIO Inc. designs, develops, jointly manufactures, and sells smart electric vehicles in China and internationally. The company offers premium EVs under the NIO brand, mass-market models under the ONVO brand, and the Firefly sub-brand. NIO also provides battery-as-a-service (BaaS) through its proprietary battery swap station network, autonomous driving technology, and digital services.</w:t>
      </w:r>
    </w:p>
    <w:p>
      <w:r>
        <w:rPr>
          <w:rFonts w:ascii="Calibri" w:hAnsi="Calibri"/>
          <w:b/>
          <w:color w:val="6E8450"/>
          <w:sz w:val="18"/>
        </w:rPr>
        <w:t>35,032 Employees · https://www.nio.com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NIO launched the ONVO and Firefly sub-brands to expand beyond premium EV into mass-market segments, and its battery swap station network now exceeds 2,700 stations — a business model transformation unique in the EV industry [1]. Deliveries grew 98.3% YoY in Q1 2026 to 83,465 units, with 326,028 delivered in FY2025 [1]. AI Deployment (2/2): NIO Pilot and NIO Autonomous Driving (NAD) ship to customers with measurable features including highway and urban navigation; the AI-powered NOMI in-car assistant processes natural language and generates real-time responses [2]. Market Share (1/2): Meaningful and gaining share in China's premium EV segment — Q1 2026 deliveries beat the upper end of guidance, and April 2026 saw 29,356 deliveries (+22.8% YoY), but NIO remains behind BYD and Tesla China in total volume [1]. Pipeline (2/2): Firefly mass-market brand launching in 2026 with specific models and pricing, next-gen battery swap stations with faster throughput, and European market expansion with specific country rollouts [1][2]. R&amp;D Intensity (1/1): Invested over RMB 8.8B ($1.3B) in R&amp;D in 2022 alone — among the highest R&amp;D-to-revenue ratios in the global auto industry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NIO's founding vision of 'Blue Sky Coming' — making premium EVs accessible to bring blue skies back to China — is specific, purposeful, and clearly connects EV manufacturing to environmental improvement. The mission has been consistently referenced by CEO William Li since 2014 and drives strategic decisions like the Clean Parks initiative [2][3]. Community Impact (1/2): NIO Clean Parks initiative has partnered with 17 ecological cooperation sites including Three-River-Source National Park and Giant Panda National Park; the company operates community engagement through NIO Houses and NIO Spaces [3]. Employee Retention (1/2): 100% employee shareholding since inception — every NIO employee holds company stock — and the company released Value System 3.0 to guide decision-making based on shared values, suggesting above-average cultural investment for a 35,000-person organization [3]. Insider Buying (0/2): No evidence of meaningful net insider buying by CEO William Li or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check passes ($6.07 x 39.5M avg volume = $239.7M daily liquidity). D/E of 246% is elevated, scoring 0.23 against the 70% target. ROE is deeply negative at -118.7% (0.0). Revenue growth is exceptional at 75.9% YoY (1.0) and 3-year CAGR of ~21% (1.0). Forward P/E is negative (excluded as unprofitable). Profit margin is -17.8% (0.0). PEG unavailable. Weighted calculation for growth stock: (0.23x1 + 0.0x2 + 1.0x1 + 1.0x2 + 0.0x1) / 7 x 10 = 4.6, rounded to 5 [4]. Total revenue reached RMB 87.5B ($12.0B) in FY2025, up from RMB 65.7B in FY2024, but the company remains pre-profit with EPS of -$1.01 TTM.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NIO demonstrates meaningful infinite-game characteristics under founder-CEO William Li's leadership. The 'Blue Sky Coming' vision has been consistently pursued since 2014 through massive R&amp;D investment despite sustained losses, the capital-intensive battery swap infrastructure bet, and the Clean Parks environmental initiative [2][3]. However, the company's persistent unprofitability after 12 years and aggressive multi-brand expansion (NIO, ONVO, Firefly) while still burning cash raises questions about whether ambition outpaces sustainable execution.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'Blue Sky Coming' is a genuine, distinctive cause that connects NIO's EV business to environmental restoration — not interchangeable marketing. William Li has consistently referenced this vision since founding in 2014, and it has shaped strategic decisions including the Clean Parks initiative and battery swap infrastructure investment [2][3]. However, the cause hasn't been tested through the kind of multi-decade consistency that earns a 3 — NIO is still only 12 years old and has yet to prove the vision survives a true crisis of financial survival.</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NIO's 100% employee shareholding since inception is a distinctive commitment to inclusion and alignment — every one of 35,000+ employees owns stock [3]. The Value System 3.0 initiative suggests deliberate cultural investment. NIO Houses and community spaces foster a sense of belonging beyond transactional employment. However, no specific turnover or tenure data is available to confirm whether this translates to retention above industry norms.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NIO's competitive posture acknowledges rivals' strengths and uses them as motivation to improve. William Li has publicly studied Tesla's manufacturing efficiency and BYD's cost structure as areas where NIO must improve, rather than dismissing competitors. The launch of ONVO and Firefly was explicitly framed as a response to competitive dynamics in the mass-market segment — learning from rivals' success rather than denying it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NIO has shown meaningful strategic flexibility — launching the ONVO and Firefly sub-brands to enter mass-market segments, building the battery swap infrastructure when the entire industry went with charging, and entering European markets. These represent significant strategic pivots driven by the cause rather than desperation [1][2]. However, none constitutes a truly transformative reinvention of the company's core identity — NIO remains an EV company expanding within EVs.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William Li invested massively in R&amp;D ($1.3B+ annually) and battery swap infrastructure despite persistent losses and skepticism from investors — a clear case of sacrificing short-term earnings for long-term capability [2]. The battery swap bet in particular was contrarian and capital-intensive when competitors chose cheaper charging solutions. However, the question remains whether this represents courage or unsustainable ambition — NIO has yet to achieve profitability after 12 years.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NIO is a high-growth Chinese EV maker executing an impressive delivery ramp — 98.3% YoY growth in Q1 2026 — with a differentiated battery swap infrastructure, strong R&amp;D investment ($1.3B+), and multi-brand strategy expanding from premium (NIO) into mass-market (ONVO, Firefly). Revenue reached RMB 87.5B ($12B) in FY2025, up 33% YoY, with the company approaching a potential inflection point toward profitability.</w:t>
      </w:r>
    </w:p>
    <w:p>
      <w:pPr>
        <w:spacing w:after="120"/>
      </w:pPr>
      <w:r>
        <w:rPr>
          <w:rFonts w:ascii="Calibri" w:hAnsi="Calibri"/>
          <w:b w:val="0"/>
          <w:color w:val="3A4A28"/>
          <w:sz w:val="20"/>
        </w:rPr>
        <w:t>The bear case centers on persistent unprofitability (-17.8% net margin, -$1.01 EPS TTM), elevated debt-to-equity of 246%, and the capital-intensive nature of battery swap infrastructure and multi-brand expansion. Geopolitical risk from US-China tensions, tariffs on Chinese EVs in Europe, and intense domestic competition from BYD and Tesla China create headwinds. The stock at $6.07 reflects the market's uncertainty about whether NIO's growth investments will translate to sustainable profitability before capital constraints become binding.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Q1 2026 earnings on May 21 expected to show revenue acceleration with 83,465 deliveries (+98.3% YoY), potentially narrowing losses toward breakeven guidance [1]</w:t>
      </w:r>
    </w:p>
    <w:p>
      <w:pPr>
        <w:spacing w:before="40" w:after="40"/>
        <w:ind w:left="283"/>
      </w:pPr>
      <w:r>
        <w:rPr>
          <w:rFonts w:ascii="Calibri" w:hAnsi="Calibri"/>
          <w:b/>
          <w:color w:val="4A6B25"/>
          <w:sz w:val="20"/>
        </w:rPr>
        <w:t xml:space="preserve">2. </w:t>
      </w:r>
      <w:r>
        <w:rPr>
          <w:rFonts w:ascii="Calibri" w:hAnsi="Calibri"/>
          <w:b w:val="0"/>
          <w:color w:val="3A4A28"/>
          <w:sz w:val="20"/>
        </w:rPr>
        <w:t>Firefly mass-market brand launch in 2026 could dramatically expand NIO's addressable market and drive volume toward profitability scale [2]</w:t>
      </w:r>
    </w:p>
    <w:p>
      <w:pPr>
        <w:spacing w:before="40" w:after="40"/>
        <w:ind w:left="283"/>
      </w:pPr>
      <w:r>
        <w:rPr>
          <w:rFonts w:ascii="Calibri" w:hAnsi="Calibri"/>
          <w:b/>
          <w:color w:val="4A6B25"/>
          <w:sz w:val="20"/>
        </w:rPr>
        <w:t xml:space="preserve">3. </w:t>
      </w:r>
      <w:r>
        <w:rPr>
          <w:rFonts w:ascii="Calibri" w:hAnsi="Calibri"/>
          <w:b w:val="0"/>
          <w:color w:val="3A4A28"/>
          <w:sz w:val="20"/>
        </w:rPr>
        <w:t>Battery swap network exceeding 2,700 stations creates a unique competitive moat and recurring BaaS revenue stream as the fleet grows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unprofitability after 12 years — net margin of -17.8% and D/E of 246% raise concerns about cash runway amid aggressive expansion [4]</w:t>
      </w:r>
    </w:p>
    <w:p>
      <w:pPr>
        <w:spacing w:before="40" w:after="40"/>
        <w:ind w:left="283"/>
      </w:pPr>
      <w:r>
        <w:rPr>
          <w:rFonts w:ascii="Calibri" w:hAnsi="Calibri"/>
          <w:b/>
          <w:color w:val="4A6B25"/>
          <w:sz w:val="20"/>
        </w:rPr>
        <w:t xml:space="preserve">2. </w:t>
      </w:r>
      <w:r>
        <w:rPr>
          <w:rFonts w:ascii="Calibri" w:hAnsi="Calibri"/>
          <w:b w:val="0"/>
          <w:color w:val="3A4A28"/>
          <w:sz w:val="20"/>
        </w:rPr>
        <w:t>Geopolitical risk from US-China tensions could impact NYSE listing, European expansion (EU tariffs on Chinese EVs), and supply chain access</w:t>
      </w:r>
    </w:p>
    <w:p>
      <w:pPr>
        <w:spacing w:before="40" w:after="40"/>
        <w:ind w:left="283"/>
      </w:pPr>
      <w:r>
        <w:rPr>
          <w:rFonts w:ascii="Calibri" w:hAnsi="Calibri"/>
          <w:b/>
          <w:color w:val="4A6B25"/>
          <w:sz w:val="20"/>
        </w:rPr>
        <w:t xml:space="preserve">3. </w:t>
      </w:r>
      <w:r>
        <w:rPr>
          <w:rFonts w:ascii="Calibri" w:hAnsi="Calibri"/>
          <w:b w:val="0"/>
          <w:color w:val="3A4A28"/>
          <w:sz w:val="20"/>
        </w:rPr>
        <w:t>Intense competition from BYD (cost leader), Tesla China (FSD advantage), and new entrants could compress margins and limit pricing power in the mass-market segments NIO is entering</w:t>
      </w:r>
    </w:p>
    <w:p>
      <w:pPr>
        <w:spacing w:before="40" w:after="40"/>
        <w:ind w:left="283"/>
      </w:pPr>
      <w:r>
        <w:rPr>
          <w:rFonts w:ascii="Calibri" w:hAnsi="Calibri"/>
          <w:b/>
          <w:color w:val="4A6B25"/>
          <w:sz w:val="20"/>
        </w:rPr>
        <w:t xml:space="preserve">4. </w:t>
      </w:r>
      <w:r>
        <w:rPr>
          <w:rFonts w:ascii="Calibri" w:hAnsi="Calibri"/>
          <w:b w:val="0"/>
          <w:color w:val="3A4A28"/>
          <w:sz w:val="20"/>
        </w:rPr>
        <w:t>Battery swap infrastructure requires massive ongoing capital expenditure that may not generate adequate returns if adoption remains niche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NIO's core business of physically manufacturing, delivering, and servicing electric vehicles is structurally immune to AI software disruption — you cannot download a car. The battery swap station network represents physical infrastructure AI cannot displace [2]. However, the autonomous driving race creates competitive exposure — Tesla FSD, Waymo, and Chinese competitors like Huawei's ADS are investing heavily, and NIO must keep pace or risk losing its premium positioning. The smart cockpit and autonomous features are differentiators that could be leapfrogged by better-resourced competitors. AI Opportunity (1/1): NIO generates revenue from AI-powered features — NIO Pilot autonomous driving, NOMI AI assistant, and smart cockpit systems are integral to the product offering and premium pricing justification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NIO Inc. Q1 2026 delivery data and April 2026 monthly update — CnEVPost and NIO Investor Relations, May 2026</w:t>
      </w:r>
    </w:p>
    <w:p>
      <w:pPr>
        <w:spacing w:before="20" w:after="20"/>
        <w:ind w:left="170"/>
      </w:pPr>
      <w:r>
        <w:rPr>
          <w:rFonts w:ascii="Calibri" w:hAnsi="Calibri"/>
          <w:b/>
          <w:color w:val="4A6B25"/>
          <w:sz w:val="15"/>
        </w:rPr>
        <w:t xml:space="preserve">2. </w:t>
      </w:r>
      <w:r>
        <w:rPr>
          <w:rFonts w:ascii="Calibri" w:hAnsi="Calibri"/>
          <w:b w:val="0"/>
          <w:color w:val="3A4A28"/>
          <w:sz w:val="17"/>
        </w:rPr>
        <w:t>William Li biography, NIO R&amp;D investment, and autonomous driving strategy — CnEVPost, Wikipedia, History Tools, 2024-2026</w:t>
      </w:r>
    </w:p>
    <w:p>
      <w:pPr>
        <w:spacing w:before="20" w:after="20"/>
        <w:ind w:left="170"/>
      </w:pPr>
      <w:r>
        <w:rPr>
          <w:rFonts w:ascii="Calibri" w:hAnsi="Calibri"/>
          <w:b/>
          <w:color w:val="4A6B25"/>
          <w:sz w:val="15"/>
        </w:rPr>
        <w:t xml:space="preserve">3. </w:t>
      </w:r>
      <w:r>
        <w:rPr>
          <w:rFonts w:ascii="Calibri" w:hAnsi="Calibri"/>
          <w:b w:val="0"/>
          <w:color w:val="3A4A28"/>
          <w:sz w:val="17"/>
        </w:rPr>
        <w:t>NIO 2024 ESG Report — NIO official website and CleanTechnica, April 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NIO key statistics and financials,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