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NKE</w:t>
      </w:r>
      <w:r>
        <w:rPr>
          <w:rFonts w:ascii="Calibri" w:hAnsi="Calibri"/>
          <w:b/>
          <w:color w:val="1A2010"/>
          <w:sz w:val="40"/>
        </w:rPr>
        <w:t xml:space="preserve">  NIKE, Inc.</w:t>
      </w:r>
    </w:p>
    <w:p>
      <w:pPr>
        <w:spacing w:after="120"/>
      </w:pPr>
      <w:r>
        <w:rPr>
          <w:rFonts w:ascii="Calibri" w:hAnsi="Calibri"/>
          <w:b/>
          <w:color w:val="6E8450"/>
          <w:sz w:val="18"/>
        </w:rPr>
        <w:t>DIVIDEND SLEEVE · 2026-03-24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Footwear &amp; Accessories · NYSE · United States</w:t>
      </w:r>
    </w:p>
    <w:p>
      <w:pPr>
        <w:spacing w:after="80"/>
      </w:pPr>
      <w:r>
        <w:rPr>
          <w:rFonts w:ascii="Calibri" w:hAnsi="Calibri"/>
          <w:b w:val="0"/>
          <w:color w:val="3A4A28"/>
          <w:sz w:val="20"/>
        </w:rPr>
        <w:t>NIKE, Inc. is the world's largest athletic footwear and apparel company, designing, marketing, and distributing products under the Nike, Jordan, and Converse brands in over 190 countries. The company operates a dual distribution model combining direct-to-consumer digital and retail channels with wholesale partnerships. Under CEO Elliott Hill—a 32-year Nike veteran who returned in October 2024—Nike is executing a 'Win Now' turnaround strategy after losing market share to On Running and Hoka.</w:t>
      </w:r>
    </w:p>
    <w:p>
      <w:r>
        <w:rPr>
          <w:rFonts w:ascii="Calibri" w:hAnsi="Calibri"/>
          <w:b/>
          <w:color w:val="6E8450"/>
          <w:sz w:val="18"/>
        </w:rPr>
        <w:t>44,000 Employees · https://www.nike.com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Nike's running category grew over 20% for two consecutive quarters in FY2026, driven by genuine product innovation including Nike Mind (January 2026, 10+ years in development) and neuroscience-based designs[1]. The company invested $5B+ in marketing for FY2026 to relaunch innovation storytelling. AI is being integrated into design (generative design tools), supply chain (inventory management algorithms), and personalized marketing. However, consecutive layoffs (1,600 in 2024, corporate cuts August 2025, 775 distribution center employees January 2026) signal operational restructuring rather than expansive innovation investment. Innovation track record: 2pts (running category, NikeSkims launch). AI deployment: 1pt (AI supply chain, design acceleration tools). Market share: 1pt (largest athletic brand by revenue). Pipeline: 2pts (Nike Mind, technology integration roadmap). R&amp;D: 0pts. Total: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Nike's mission—'to bring inspiration and innovation to every athlete* in the world (*if you have a body, you are an athlete)'—is transformative, inclusive, and has been validated through 50 years of consistent brand building that has democratized athletic aspiration globally. Mission floor: 3 (transformative). The Nike Foundation and community programs (youth athletic programs, NikeGO campaign) invest meaningfully in underserved communities—qualifying for 1 community impact point. Employee retention: Nike's talent investment programs and purpose-driven brand attract and retain above-average talent for a consumer company, qualifying for 1 point. Insider buying: Elliott Hill as a 32-year Nike veteran with deep personal equity ownership represents alignment, though specific open-market purchases are not documented in the review period; scoring 0. Total: 3 + 1 + 1 + 0 = 5, displayed as 7.</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Nike's FY2026 financials are under pressure: Q2 revenue $12.4B (+1% YoY), gross margin down 300bps to 40.6% from tariffs, NIKE Direct down 9%, Converse down 30%, and net income down 32%[1]. The company carries D/E of ~140% from buybacks. ROE is strong despite current headwinds (~40%). Profit margin has compressed to ~8-9% from historical 12%+. Consecutive dividend growth for 22+ years qualifies for strong dividend scoring. Forward P/E of ~27x reflects turnaround premium rather than current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Nike's Just Cause—democratizing athletic inspiration—has been validated through 50 years of execution. Elliott Hill's return as a 32-year Nike veteran to restore the brand's innovation DNA is precisely the kind of courageous leadership Sinek celebrates. The willingness to restructure at cost (layoffs, brand spend reallocation, wholesale relationship repair) in service of the long-term mission demonstrates infinite game conviction.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Nike's Just Cause—bringing inspiration and innovation to every athlete in the world—is service-oriented (benefits billions of people), idealistic (every body is an athlete), big (it can never be fully achieved), and validated through 50 years of execution including the Jordan Brand, the running revolution, and NikeSkims. The company has survived multiple crises (labor controversies, Kaepernick, executive departures) while maintaining its mission. Score: 2 points (genuine cause, strongly validated), display 7.</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 has conducted major layoffs in consecutive years (2024, 2025) that erode institutional knowledge and trust. However, Hill's restructuring is explicitly oriented toward empowering sport-specific teams rather than top-down hierarchy—removing layers to increase decision speed. Glassdoor scores are average-to-positive for consumer goods. Score: 1 point (adequate, rebuilding trust),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Hill's turnaround strategy is explicitly benchmarked against On Running and Hoka's product innovation, Adidas's cultural relevance recovery (Yeezy), and direct-to-consumer competitors' digital capabilities. Nike rejoined Amazon and rebuilt Foot Locker partnerships in direct response to learning from competitive dynamics.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 transformed from a distribution company to a DTC digital platform under Donahoe, then reversed course under Hill to a balanced multi-channel model—demonstrating willingness to abandon what was working (DTC growth) in service of what was right (wholesale relationship preservation and brand distribution breadth). Score: 2 points, display 10.</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Hill's decision to re-embrace wholesale partners (Foot Locker, Dick's) after Donahoe spent years cutting them—publicly admitting the DTC-first strategy was wrong—required extraordinary institutional courage. Investing $5B+ in marketing in a year of declining revenues (fiscal 2026) to restore brand relevance is classic Sinek courage: sacrificing short-term profitability for long-term capability. Score: 2 points (pattern of courage), display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Nike is in the 'middle innings' of a turnaround with identifiable catalysts: North America wholesale grew 8%, running grew 20%+ for two consecutive quarters, and the Jordan Brand continues to generate premium demand globally[1]. Elliott Hill's 32-year Nike tenure means he understands the brand DNA that Donahoe disrupted, and the $5B marketing investment in FY2026 is restoring the innovation storytelling that made Nike the world's most valuable sports brand. The 22+ year dividend growth streak provides income support, and the 2.2% yield at 75/share offers a floor for long-term investors.</w:t>
      </w:r>
    </w:p>
    <w:p>
      <w:pPr>
        <w:spacing w:after="120"/>
      </w:pPr>
      <w:r>
        <w:rPr>
          <w:rFonts w:ascii="Calibri" w:hAnsi="Calibri"/>
          <w:b w:val="0"/>
          <w:color w:val="3A4A28"/>
          <w:sz w:val="20"/>
        </w:rPr>
        <w:t>The bear case is that Nike faces $1.5B in annual tariff headwinds (annualized impact on gross margins) as the company sources primarily from Vietnam and China, and no near-term sourcing diversification can fully offset this[1]. NIKE Direct is declining 9% YoY and digital sales are down 14%—the growth engine of the Donahoe era is in reverse. Converse is down 30% and represents a brand that may require separate strategic intervention. If comparable sales don't recover in FY2026 Q3-Q4, the 27x forward P/E for a company generating 1% revenue growth is difficult to justify.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Running category sustaining 20%+ growth through FY2026 Q3-Q4 driven by Nike Mind launch and renewed performance product investment</w:t>
      </w:r>
    </w:p>
    <w:p>
      <w:pPr>
        <w:spacing w:before="40" w:after="40"/>
        <w:ind w:left="283"/>
      </w:pPr>
      <w:r>
        <w:rPr>
          <w:rFonts w:ascii="Calibri" w:hAnsi="Calibri"/>
          <w:b/>
          <w:color w:val="4A6B25"/>
          <w:sz w:val="20"/>
        </w:rPr>
        <w:t xml:space="preserve">2. </w:t>
      </w:r>
      <w:r>
        <w:rPr>
          <w:rFonts w:ascii="Calibri" w:hAnsi="Calibri"/>
          <w:b w:val="0"/>
          <w:color w:val="3A4A28"/>
          <w:sz w:val="20"/>
        </w:rPr>
        <w:t>Tariff mitigation through Vietnam/Mexico sourcing shifts and selective price increases beginning to offset the $1.5B annual gross margin headwind</w:t>
      </w:r>
    </w:p>
    <w:p>
      <w:pPr>
        <w:spacing w:before="40" w:after="40"/>
        <w:ind w:left="283"/>
      </w:pPr>
      <w:r>
        <w:rPr>
          <w:rFonts w:ascii="Calibri" w:hAnsi="Calibri"/>
          <w:b/>
          <w:color w:val="4A6B25"/>
          <w:sz w:val="20"/>
        </w:rPr>
        <w:t xml:space="preserve">3. </w:t>
      </w:r>
      <w:r>
        <w:rPr>
          <w:rFonts w:ascii="Calibri" w:hAnsi="Calibri"/>
          <w:b w:val="0"/>
          <w:color w:val="3A4A28"/>
          <w:sz w:val="20"/>
        </w:rPr>
        <w:t>Wholesale channel recovery (Foot Locker, Dick's re-engagement) driving NIKE Direct traffic recovery through cross-channel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Tariff escalation beyond the current $1.5B annualized impact if Vietnam sourcing faces additional duties, compressing gross margins to pre-2020 levels</w:t>
      </w:r>
    </w:p>
    <w:p>
      <w:pPr>
        <w:spacing w:before="40" w:after="40"/>
        <w:ind w:left="283"/>
      </w:pPr>
      <w:r>
        <w:rPr>
          <w:rFonts w:ascii="Calibri" w:hAnsi="Calibri"/>
          <w:b/>
          <w:color w:val="4A6B25"/>
          <w:sz w:val="20"/>
        </w:rPr>
        <w:t xml:space="preserve">2. </w:t>
      </w:r>
      <w:r>
        <w:rPr>
          <w:rFonts w:ascii="Calibri" w:hAnsi="Calibri"/>
          <w:b w:val="0"/>
          <w:color w:val="3A4A28"/>
          <w:sz w:val="20"/>
        </w:rPr>
        <w:t>On Running and Hoka continuing to gain running and lifestyle market share during the turnaround period, preventing the revenue inflection Hill needs</w:t>
      </w:r>
    </w:p>
    <w:p>
      <w:pPr>
        <w:spacing w:before="40" w:after="40"/>
        <w:ind w:left="283"/>
      </w:pPr>
      <w:r>
        <w:rPr>
          <w:rFonts w:ascii="Calibri" w:hAnsi="Calibri"/>
          <w:b/>
          <w:color w:val="4A6B25"/>
          <w:sz w:val="20"/>
        </w:rPr>
        <w:t xml:space="preserve">3. </w:t>
      </w:r>
      <w:r>
        <w:rPr>
          <w:rFonts w:ascii="Calibri" w:hAnsi="Calibri"/>
          <w:b w:val="0"/>
          <w:color w:val="3A4A28"/>
          <w:sz w:val="20"/>
        </w:rPr>
        <w:t>NIKE Digital declining 14% suggesting the DTC platform may have permanently lost consumer preference to Amazon, specialty retailers, and competitors' apps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Nike's core business—athletic footwear and apparel design, manufacturing, and brand marketing—is largely immune to AI substitution at the consumer level. Consumers buy Nike for the brand, performance, and style. AI is an enabler for Nike across design acceleration, personalized marketing, and supply chain efficiency. The primary AI-related risk is AI-powered competitors (On Running uses AI in shoe design) closing the product innovation gap, and AI enabling direct-to-consumer competitors to match Nike's marketing scale at lower cost. Nike's brand moat (50+ years, $5B annual marketing) is difficult to replicate even with AI. Risk protection: 7 (PROTECTED—physical athletic goods brand with irreplaceable legacy moat; AI is enabler not disruptor). AI opportunity: 0.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NIKE Q2 FY2026 Earnings Release, December 2025</w:t>
      </w:r>
    </w:p>
    <w:p>
      <w:pPr>
        <w:spacing w:before="20" w:after="20"/>
        <w:ind w:left="170"/>
      </w:pPr>
      <w:r>
        <w:rPr>
          <w:rFonts w:ascii="Calibri" w:hAnsi="Calibri"/>
          <w:b/>
          <w:color w:val="4A6B25"/>
          <w:sz w:val="15"/>
        </w:rPr>
        <w:t xml:space="preserve">2. </w:t>
      </w:r>
      <w:r>
        <w:rPr>
          <w:rFonts w:ascii="Calibri" w:hAnsi="Calibri"/>
          <w:b w:val="0"/>
          <w:color w:val="3A4A28"/>
          <w:sz w:val="17"/>
        </w:rPr>
        <w:t>NIKE Q1 FY2026 Earnings Release, September 2025</w:t>
      </w:r>
    </w:p>
    <w:p>
      <w:pPr>
        <w:spacing w:before="20" w:after="20"/>
        <w:ind w:left="170"/>
      </w:pPr>
      <w:r>
        <w:rPr>
          <w:rFonts w:ascii="Calibri" w:hAnsi="Calibri"/>
          <w:b/>
          <w:color w:val="4A6B25"/>
          <w:sz w:val="15"/>
        </w:rPr>
        <w:t xml:space="preserve">3. </w:t>
      </w:r>
      <w:r>
        <w:rPr>
          <w:rFonts w:ascii="Calibri" w:hAnsi="Calibri"/>
          <w:b w:val="0"/>
          <w:color w:val="3A4A28"/>
          <w:sz w:val="17"/>
        </w:rPr>
        <w:t>Nike Win Now Strategy Coverage, Retail Dive and Financial Content, 2025-2026</w:t>
      </w:r>
    </w:p>
    <w:p>
      <w:pPr>
        <w:spacing w:before="20" w:after="20"/>
        <w:ind w:left="170"/>
      </w:pPr>
      <w:r>
        <w:rPr>
          <w:rFonts w:ascii="Calibri" w:hAnsi="Calibri"/>
          <w:b/>
          <w:color w:val="4A6B25"/>
          <w:sz w:val="15"/>
        </w:rPr>
        <w:t xml:space="preserve">4. </w:t>
      </w:r>
      <w:r>
        <w:rPr>
          <w:rFonts w:ascii="Calibri" w:hAnsi="Calibri"/>
          <w:b w:val="0"/>
          <w:color w:val="3A4A28"/>
          <w:sz w:val="17"/>
        </w:rPr>
        <w:t>Nike SWOT Analysis 2026, SWOTPal,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NKE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