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NLY</w:t>
      </w:r>
      <w:r>
        <w:rPr>
          <w:rFonts w:ascii="Calibri" w:hAnsi="Calibri"/>
          <w:b/>
          <w:color w:val="1A2010"/>
          <w:sz w:val="40"/>
        </w:rPr>
        <w:t xml:space="preserve">  Annaly Capital Management, Inc.</w:t>
      </w:r>
    </w:p>
    <w:p>
      <w:pPr>
        <w:spacing w:after="120"/>
      </w:pPr>
      <w:r>
        <w:rPr>
          <w:rFonts w:ascii="Calibri" w:hAnsi="Calibri"/>
          <w:b/>
          <w:color w:val="6E8450"/>
          <w:sz w:val="18"/>
        </w:rPr>
        <w:t>DIVIDEND SLEEVE · 2026-03-27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Annaly Capital Management is the largest publicly traded mortgage REIT, managing a $104.7 billion portfolio of agency mortgage-backed securities, residential credit, and mortgage servicing rights. The company generates income primarily from the spread between short-term borrowing costs and long-term MBS yields.</w:t>
      </w:r>
    </w:p>
    <w:p>
      <w:r>
        <w:rPr>
          <w:rFonts w:ascii="Calibri" w:hAnsi="Calibri"/>
          <w:b/>
          <w:color w:val="6E8450"/>
          <w:sz w:val="18"/>
        </w:rPr>
        <w:t>212 Employees · https://www.annaly.com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Annaly is strategically diversifying from its traditional agency MBS focus toward a 50% agency / 30% residential credit / 20% MSR target allocation, demonstrating platform evolution [1]. The company achieved a 20.2% full-year economic return in 2025 and Q4 EAD of $0.74 per share beat estimates of $0.72. However, mortgage REIT operations are inherently financial engineering rather than product innovation, and the business model depends more on interest rate management than technological advancement.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212 employees managing a $104.7B portfolio, Annaly operates as a lean financial engineering firm. The company's 13.3% dividend yield makes it a popular income investment, but the REIT structure and leverage-dependent model offer limited inspirational narrative beyond financial returns [1]. The stability of the $0.70 quarterly dividend and EAD coverage provide investor confidence but don't constitute a broader societal mission.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Annaly delivered an impressive 20.2% economic return in 2025 with Q4 EAD of $0.74 comfortably covering the $0.70 dividend [1]. Book value improved to $20.21/share YoY, and GAAP net income was $2.92/share. The 13.3% yield at 95.9% payout is sustainable with current EAD coverage. The 85.1% profit margin is typical for a financial company. However, 719% D/E ratio reflects the extreme leverage inherent in the mREIT model (7.2x GAAP leverage), which amplifies both returns and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Annaly has operated for 25+ years and maintained dividends through multiple cycles, demonstrating resilience. However, the leverage-dependent mREIT model is inherently reactive to interest rate environments, and the focus on quarterly dividend coverage creates a finite-game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Annaly's role in providing liquidity to the U.S. residential mortgage market supports homeownership, which has societal value [1]. However, the company's primary purpose is generating leveraged spread income for shareholders, which is a financial objective rather than a broader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212 employees, Annaly operates as a highly specialized financial team where expertise and trust are essential for managing a $104.7B portfolio [1]. The lean organizational structure enables close collaboration, though the high-pressure, performance-driven environment of leveraged finance can strain team dynamics.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Annaly competes with AGNC Investment, Two Harbors, and other mREITs, and its capital allocation shift toward residential credit and MSR shows competitive learning [1]. The company's decision to diversify away from pure agency exposure reflects awareness that competitors have found better risk-adjusted returns in credit and servicing.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shift toward a 50/30/20 allocation (agency/credit/MSR) from a historically pure-agency portfolio demonstrates meaningful strategic evolution [1]. However, the mREIT model's fundamental reliance on leverage and spread income limits the range of strategic pivots available.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Maintaining the $0.70 quarterly dividend through interest rate volatility shows commitment to shareholders [1]. The capital allocation pivot toward residential credit and MSR represents a calculated risk to improve through-the-cycle returns, though the move follows peers rather than leading the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Annaly offers a 13.3% dividend yield at 7.1x forward earnings with Q4 2025 EAD of $0.74/share comfortably covering the $0.70 dividend [1]. The 20.2% full-year economic return demonstrates effective management through rate volatility, and the shift toward a 50/30/20 allocation (agency/credit/MSR) should improve through-the-cycle stability. Book value improved to $20.21/share, providing a clear floor with the stock trading at just 1.04x book. The 7.2x GAAP leverage is moderate by mREIT standards, and $104.7B in assets under management provides scale advantages in execution and hedging.</w:t>
      </w:r>
    </w:p>
    <w:p>
      <w:pPr>
        <w:spacing w:after="120"/>
      </w:pPr>
      <w:r>
        <w:rPr>
          <w:rFonts w:ascii="Calibri" w:hAnsi="Calibri"/>
          <w:b w:val="0"/>
          <w:color w:val="3A4A28"/>
          <w:sz w:val="20"/>
        </w:rPr>
        <w:t>The bear case centers on the structural risks of the mREIT model. The 719% D/E ratio means small changes in interest rates, spreads, or MBS prepayments can dramatically impact book value and earnings [1]. The 95.9% payout ratio leaves minimal cushion if EAD declines, and Annaly has a history of dividend cuts during adverse rate environments. The dividend has not grown (0% consecutive years of growth) despite 25 years of payment, reflecting the cyclical nature of spread income. Rising interest rates would increase funding costs and potentially compress the net interest margin, while falling rates could accelerate prepayments and reduce portfolio yield. The stock trading at 1.04x book offers limited upside if the rate environment deteriorates.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MBS spread tightening could drive book value appreciation above the current $20.21/share and support the 20%+ economic return trajectory [1]</w:t>
      </w:r>
    </w:p>
    <w:p>
      <w:pPr>
        <w:spacing w:before="40" w:after="40"/>
        <w:ind w:left="283"/>
      </w:pPr>
      <w:r>
        <w:rPr>
          <w:rFonts w:ascii="Calibri" w:hAnsi="Calibri"/>
          <w:b/>
          <w:color w:val="4A6B25"/>
          <w:sz w:val="20"/>
        </w:rPr>
        <w:t xml:space="preserve">2. </w:t>
      </w:r>
      <w:r>
        <w:rPr>
          <w:rFonts w:ascii="Calibri" w:hAnsi="Calibri"/>
          <w:b w:val="0"/>
          <w:color w:val="3A4A28"/>
          <w:sz w:val="20"/>
        </w:rPr>
        <w:t>Capital rotation toward residential credit (30% target) and MSR (20% target) provides more stable, less rate-sensitive income streams over time [1]</w:t>
      </w:r>
    </w:p>
    <w:p>
      <w:pPr>
        <w:spacing w:before="40" w:after="40"/>
        <w:ind w:left="283"/>
      </w:pPr>
      <w:r>
        <w:rPr>
          <w:rFonts w:ascii="Calibri" w:hAnsi="Calibri"/>
          <w:b/>
          <w:color w:val="4A6B25"/>
          <w:sz w:val="20"/>
        </w:rPr>
        <w:t xml:space="preserve">3. </w:t>
      </w:r>
      <w:r>
        <w:rPr>
          <w:rFonts w:ascii="Calibri" w:hAnsi="Calibri"/>
          <w:b w:val="0"/>
          <w:color w:val="3A4A28"/>
          <w:sz w:val="20"/>
        </w:rPr>
        <w:t>Federal Reserve rate cuts in 2026 could steepen the yield curve and expand Annaly's net interest margin, potentially supporting a dividend increase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spike or unexpected Fed tightening could compress spreads and impair book value, potentially forcing a dividend cut from the current $0.70/quarter [1]</w:t>
      </w:r>
    </w:p>
    <w:p>
      <w:pPr>
        <w:spacing w:before="40" w:after="40"/>
        <w:ind w:left="283"/>
      </w:pPr>
      <w:r>
        <w:rPr>
          <w:rFonts w:ascii="Calibri" w:hAnsi="Calibri"/>
          <w:b/>
          <w:color w:val="4A6B25"/>
          <w:sz w:val="20"/>
        </w:rPr>
        <w:t xml:space="preserve">2. </w:t>
      </w:r>
      <w:r>
        <w:rPr>
          <w:rFonts w:ascii="Calibri" w:hAnsi="Calibri"/>
          <w:b w:val="0"/>
          <w:color w:val="3A4A28"/>
          <w:sz w:val="20"/>
        </w:rPr>
        <w:t>The 95.9% payout ratio provides minimal buffer — any EAD decline below $0.70/quarter would either require a dividend cut or unsustainable book value erosion</w:t>
      </w:r>
    </w:p>
    <w:p>
      <w:pPr>
        <w:spacing w:before="40" w:after="40"/>
        <w:ind w:left="283"/>
      </w:pPr>
      <w:r>
        <w:rPr>
          <w:rFonts w:ascii="Calibri" w:hAnsi="Calibri"/>
          <w:b/>
          <w:color w:val="4A6B25"/>
          <w:sz w:val="20"/>
        </w:rPr>
        <w:t xml:space="preserve">3. </w:t>
      </w:r>
      <w:r>
        <w:rPr>
          <w:rFonts w:ascii="Calibri" w:hAnsi="Calibri"/>
          <w:b w:val="0"/>
          <w:color w:val="3A4A28"/>
          <w:sz w:val="20"/>
        </w:rPr>
        <w:t>MBS prepayment acceleration in a declining rate environment could reduce portfolio yield faster than Annaly can reinvest at attractive spreads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has limited direct impact on Annaly's business model, which is fundamentally about interest rate spread management and MBS portfolio construction. AI could modestly improve prepayment modeling, credit analysis, and hedging decisions. The 212-employee workforce means operational automation savings are negligible. The mortgage REIT business is neither meaningfully threatened nor transformed by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Annaly Capital Management Q4/FY2025 Earnings Release and Q1 2026 Outlook,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NLY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Annaly Capital Management Strategic Capital Allocation Update,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