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NMFC</w:t>
      </w:r>
      <w:r>
        <w:rPr>
          <w:rFonts w:ascii="Calibri" w:hAnsi="Calibri"/>
          <w:b/>
          <w:color w:val="1A2010"/>
          <w:sz w:val="40"/>
        </w:rPr>
        <w:t xml:space="preserve">  New Mountain Finance Corporation</w:t>
      </w:r>
    </w:p>
    <w:p>
      <w:pPr>
        <w:spacing w:after="120"/>
      </w:pPr>
      <w:r>
        <w:rPr>
          <w:rFonts w:ascii="Calibri" w:hAnsi="Calibri"/>
          <w:b/>
          <w:color w:val="6E8450"/>
          <w:sz w:val="18"/>
        </w:rPr>
        <w:t>DIVIDEND SLEEVE · 2026-05-01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New Mountain Finance Corporation is a business development company (BDC) that invests in and lends to middle market companies in defensive growth industries. The fund makes investments in debt securities across the capital structure including first and second lien debt, unsecured notes, mezzanine securities, and equity interests, targeting companies with EBITDA between $10M and $200M.</w:t>
      </w:r>
    </w:p>
    <w:p>
      <w:r>
        <w:rPr>
          <w:rFonts w:ascii="Calibri" w:hAnsi="Calibri"/>
          <w:b/>
          <w:color w:val="6E8450"/>
          <w:sz w:val="18"/>
        </w:rPr>
        <w:t>https://www.newmountainfinance.com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New Mountain Capital formed Smarter Technologies in 2025 through the strategic combination of portfolio companies SmarterDx, Thoughtful.ai, and Access Healthcare, creating an AI-driven healthcare revenue management platform [3]. The strategic $477M asset sale to a Coller Capital-backed vehicle in March 2026 represents active portfolio redeployment toward senior-oriented assets [1]. AI Deployment (1/2): Through portfolio company Smarter Technologies, New Mountain has deployed agentic-AI, machine learning, and clinical data tools for healthcare revenue cycle management, with CEO Klinsky describing it as combining 'market leaders across the most important areas of agentic-AI' [3]. Market Share Leadership (1/2): NMFC is a meaningful participant in the middle market BDC space with $2.9B in total assets, though it is not a category leader compared to larger BDCs like Ares Capital ($27B) or Blue Owl ($18B) [1]. Product Pipeline (0/2): No next-generation products or platforms announced with specific timelines beyond ongoing portfolio management. R&amp;D Intensity (1/1): Not directly applicable to BDCs, but New Mountain Capital's investment in AI-driven portfolio companies and formation of Smarter Technologies demonstrates above-average innovation investment for the asset management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New Mountain Capital's stated approach of investing in 'defensive growth' businesses — companies that grow in good times and are resilient in bad — is specific and differentiating within the BDC space, but falls short of articulating a transformative purpose beyond generating returns. Community &amp; Charitable Impact (1/2): Since 2008, New Mountain has published an annual Social Dashboard tracking net job creation, R&amp;D investment, capital expenditures, and employee median income across portfolio companies. ESG assessment is integrated into transaction evaluation, with weak ESG serving as a deal-breaker [4]. Employee Retention &amp; Tenure (1/2): Glassdoor rating of 4.0/5.0 with 87% of employees recommending the workplace. Employees describe a 'great culture, intellectually stimulating, fun' environment. Key executives show long tenure: Robert Hamwee joined in 2008, Laura Holson in 2009 [2]. Insider Buying (0/2): No evidence of meaningful net insider buying found in recent public filings; stock has declined 22.6% year-over-year to near 52-week lows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Calculated mechanically from available metrics. NMFC's Forward P/E of 8.0 scores at maximum (1.0) and consecutive years paid of 15 years earns full marks (1.0 at 2x weight), providing the strongest contributions [1][2]. However, trailing ROE of 1.3% (near floor), revenue decline of -15.1% YoY, trailing payout ratio of 800% (based on depressed trailing EPS of $0.16 vs. $1.28 dividend), zero consecutive years of dividend growth, and modest 0.6% 5yr dividend growth CAGR all drag the score significantly. Debt-to-equity of 140.7% is typical for BDCs but scores 0.69. Note: BDC accounting makes trailing P/E (53.4x) and payout ratio misleading — forward EPS of $1.07 implies a more sustainable 7.98x forward P/E and ~120% forward payout ratio.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New Mountain Finance demonstrates several infinite-game characteristics including long-tenured leadership, a 'defensive growth' investment philosophy that prioritizes resilience over short-term returns, and ESG integration since 2008. However, the BDC structure with its mandatory dividend distribution requirements creates inherent finite-game pressure — the stock has declined 22.6% as revenue fell and NAV dropped 4.5% sequentially, suggesting the business model is challenged in the current interest rate environment [1][2].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New Mountain's 'defensive growth' philosophy — investing in businesses that grow consistently and prove resilient during downturns — is a coherent investment thesis that has guided the firm since founding. CEO Klinsky described the $477M asset sale as 'strategic redeployment' rather than distressed liquidation, suggesting purpose-driven decision-making [1]. However, the cause ultimately serves investor returns rather than a broader transformative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4.0/5.0 with 87% recommendation rate and employees describing the culture as 'great culture, intellectually stimulating, fun' [2]. Key executives show long tenure — Robert Hamwee joined in 2008 and led as CEO through 2022, Laura Holson joined in 2009. The stability of the leadership team and positive employee sentiment suggest adequate organizational trust, though the 3.2/5.0 work-life balance score indicates some cultural pressure.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New Mountain acknowledging competitors' strengths or framing competition as a learning opportunity. The company positions its 'defensive growth' approach as differentiated from peers but does not reference learning from larger BDCs like Ares Capital or Blue Owl. Competitive language focuses on New Mountain's unique positioning rather than industry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$477M asset sale to Coller Capital in March 2026, described as portfolio redeployment to reduce concentration and increase senior-oriented assets, demonstrates willingness to restructure the portfolio even at near-52-week-low stock prices [1]. The formation of Smarter Technologies through combining three AI-focused healthcare portfolio companies shows strategic adaptation toward AI-driven business models [3]. These are incremental rather than transformative shifts.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Klinsky's decision to execute a strategic $477M asset sale at a time when the stock was near 52-week lows, framing it as 'strategic redeployment not distressed liquidation,' shows willingness to make difficult portfolio decisions for long-term positioning [1]. The Social Dashboard published annually since 2008 and ESG integration into deal evaluation demonstrate sustained commitment to stakeholder-oriented investing beyond pure financial returns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NMFC offers a 15.0% dividend yield backed by a $2.9B portfolio of middle market loans in 'defensive growth' industries, managed by the experienced New Mountain Capital team with strong Glassdoor ratings (4.0/5.0) and long-tenured executives. The forward P/E of 8.0x suggests forward earnings of $1.07 per share can more than cover the $1.28 annual dividend, and the strategic $477M asset sale to Coller Capital should improve portfolio quality and reduce leverage [1][2]. The formation of Smarter Technologies through AI-focused healthcare companies demonstrates innovation in portfolio construction [3].</w:t>
      </w:r>
    </w:p>
    <w:p>
      <w:pPr>
        <w:spacing w:after="120"/>
      </w:pPr>
      <w:r>
        <w:rPr>
          <w:rFonts w:ascii="Calibri" w:hAnsi="Calibri"/>
          <w:b w:val="0"/>
          <w:color w:val="3A4A28"/>
          <w:sz w:val="20"/>
        </w:rPr>
        <w:t>The bear case centers on deteriorating fundamentals: Q4 2025 revenue of $77.4M missed estimates by 6.2%, NAV fell 4.5% sequentially to $11.52 (stock trades at 0.74x NAV), and trailing ROE has collapsed to 1.3% [1]. Revenue declined 15.1% YoY, and the dividend has not grown — 2025 annual dividend of $1.28 is barely above the $1.24 paid in 2020, with a 5yr CAGR of just 0.6%. The 800% trailing payout ratio (based on depressed trailing EPS) signals potential dividend instability. BDC models face structural headwinds as AI-driven lending platforms compress middle market credit spreads, and NMFC's relatively high leverage (140.7% D/E) amplifies downside risk in credit deterioration scenarios.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$477M strategic asset sale to Coller Capital in March 2026 should improve portfolio quality, reduce concentration risk, and potentially unlock capital for higher-yielding redeployment</w:t>
      </w:r>
    </w:p>
    <w:p>
      <w:pPr>
        <w:spacing w:before="40" w:after="40"/>
        <w:ind w:left="283"/>
      </w:pPr>
      <w:r>
        <w:rPr>
          <w:rFonts w:ascii="Calibri" w:hAnsi="Calibri"/>
          <w:b/>
          <w:color w:val="4A6B25"/>
          <w:sz w:val="20"/>
        </w:rPr>
        <w:t xml:space="preserve">2. </w:t>
      </w:r>
      <w:r>
        <w:rPr>
          <w:rFonts w:ascii="Calibri" w:hAnsi="Calibri"/>
          <w:b w:val="0"/>
          <w:color w:val="3A4A28"/>
          <w:sz w:val="20"/>
        </w:rPr>
        <w:t>May 11, 2026 Q1 earnings report could demonstrate stabilization in net investment income and NAV recovery from the Q4 2025 trough, rebuilding investor confidence</w:t>
      </w:r>
    </w:p>
    <w:p>
      <w:pPr>
        <w:spacing w:before="40" w:after="40"/>
        <w:ind w:left="283"/>
      </w:pPr>
      <w:r>
        <w:rPr>
          <w:rFonts w:ascii="Calibri" w:hAnsi="Calibri"/>
          <w:b/>
          <w:color w:val="4A6B25"/>
          <w:sz w:val="20"/>
        </w:rPr>
        <w:t xml:space="preserve">3. </w:t>
      </w:r>
      <w:r>
        <w:rPr>
          <w:rFonts w:ascii="Calibri" w:hAnsi="Calibri"/>
          <w:b w:val="0"/>
          <w:color w:val="3A4A28"/>
          <w:sz w:val="20"/>
        </w:rPr>
        <w:t>AI-driven portfolio company Smarter Technologies (SmarterDx + Thoughtful.ai + Access Healthcare) could generate meaningful value creation as healthcare revenue cycle AI adoption accelerates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NAV erosion from credit losses in the middle market lending portfolio — NAV declined from $12.06 to $11.52 in a single quarter, and further deterioration could force dividend cuts</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risk with trailing payout ratio of 800% and no dividend growth over 5 years — if forward earnings miss the $1.07 consensus, the $1.28 annual dividend becomes untenable</w:t>
      </w:r>
    </w:p>
    <w:p>
      <w:pPr>
        <w:spacing w:before="40" w:after="40"/>
        <w:ind w:left="283"/>
      </w:pPr>
      <w:r>
        <w:rPr>
          <w:rFonts w:ascii="Calibri" w:hAnsi="Calibri"/>
          <w:b/>
          <w:color w:val="4A6B25"/>
          <w:sz w:val="20"/>
        </w:rPr>
        <w:t xml:space="preserve">3. </w:t>
      </w:r>
      <w:r>
        <w:rPr>
          <w:rFonts w:ascii="Calibri" w:hAnsi="Calibri"/>
          <w:b w:val="0"/>
          <w:color w:val="3A4A28"/>
          <w:sz w:val="20"/>
        </w:rPr>
        <w:t>Rising competition from AI-driven lending platforms and larger BDCs (Ares Capital, Blue Owl) compressing middle market credit spreads and challenging NMFC's ability to originate attractive risk-adjusted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NMFC's core business — direct lending and credit underwriting for middle market companies — involves relationship-based deal origination, complex credit analysis, and portfolio monitoring that AI tools are increasingly capable of augmenting but not fully replacing. The BDC model relies on human judgment in structuring bespoke credit facilities and managing borrower relationships, providing some protection. However, AI-driven credit analysis, automated underwriting, and algorithmic lending from fintech competitors pose meaningful long-term disruption risk to traditional middle market lending margins [3]. AI Opportunity (1/1): New Mountain Capital's formation of Smarter Technologies — combining SmarterDx, Thoughtful.ai, and Access Healthcare — demonstrates meaningful AI revenue generation through portfolio companies, with the combined entity positioned as 'the innovation leader' in AI-driven healthcare revenue management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 Mountain Finance Q4 2025 Earnings Report and Strategic Asset Sale Announcement,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 New Mountain Capital employee reviews,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New Mountain Capital Forms Smarter Technologies through Combination of SmarterDx, Thoughtful.ai, and Access Healthcare — BusinessWire, May 2025</w:t>
      </w:r>
    </w:p>
    <w:p>
      <w:pPr>
        <w:spacing w:before="20" w:after="20"/>
        <w:ind w:left="170"/>
      </w:pPr>
      <w:r>
        <w:rPr>
          <w:rFonts w:ascii="Calibri" w:hAnsi="Calibri"/>
          <w:b/>
          <w:color w:val="4A6B25"/>
          <w:sz w:val="15"/>
        </w:rPr>
        <w:t xml:space="preserve">4. </w:t>
      </w:r>
      <w:r>
        <w:rPr>
          <w:rFonts w:ascii="Calibri" w:hAnsi="Calibri"/>
          <w:b w:val="0"/>
          <w:color w:val="3A4A28"/>
          <w:sz w:val="17"/>
        </w:rPr>
        <w:t>New Mountain Capital Social Responsibility and ESG Disclosures,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NMFC key statistics and financials,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