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NMRA</w:t>
      </w:r>
      <w:r>
        <w:rPr>
          <w:rFonts w:ascii="Calibri" w:hAnsi="Calibri"/>
          <w:b/>
          <w:color w:val="1A2010"/>
          <w:sz w:val="40"/>
        </w:rPr>
        <w:t xml:space="preserve">  Neumora Therapeutics, Inc.</w:t>
      </w:r>
    </w:p>
    <w:p>
      <w:pPr>
        <w:spacing w:after="120"/>
      </w:pPr>
      <w:r>
        <w:rPr>
          <w:rFonts w:ascii="Calibri" w:hAnsi="Calibri"/>
          <w:b/>
          <w:color w:val="6E8450"/>
          <w:sz w:val="18"/>
        </w:rPr>
        <w:t>GROWTH SLEEVE · 2026-04-24 · Inspire: 21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Neumora Therapeutics is a clinical-stage biotechnology company pioneering precision medicines for brain diseases through the integration of data science and neuroscience. The company has built a pipeline of seven programs targeting novel mechanisms of action in CNS diseases including major depressive disorder, schizophrenia, Alzheimer's disease agitation, and obesity.</w:t>
      </w:r>
    </w:p>
    <w:p>
      <w:r>
        <w:rPr>
          <w:rFonts w:ascii="Calibri" w:hAnsi="Calibri"/>
          <w:b/>
          <w:color w:val="6E8450"/>
          <w:sz w:val="18"/>
        </w:rPr>
        <w:t>96 Employees · https://www.neumoratx.com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1 point — Neumora completed its IPO in September 2023 and has advanced a pipeline of seven programs, though the FDA clinical hold on NMRA-266 (schizophrenia) due to preclinical convulsion data represents a setback [1][3]. The company has navigated multiple leadership transitions since founding. AI Deployment: 2 points — Neumora's core differentiation is its Precision Toolbox integrating translational, clinical, and computational tools to enable precision medicine approaches to CNS drug development [2]. This data science platform represents genuine AI deployment in drug discovery, though investor litigation alleges the AI-driven claims have not materialized in clinical trial design [3]. Market Share Leadership: 1 point — Neumora's approach to precision neuroscience positions it as a differentiated player in the CNS therapeutics space, though it competes against established pharma companies with vastly greater resources. Product Pipeline: 2 points — exceptionally strong pipeline for a clinical-stage company: KOASTAL-2 and -3 Phase 3 trials in MDD fully enrolled with 400+ patients each and Q2 2026 topline readout; NMRA-511 Phase 1b success in Alzheimer's agitation; NMRA-898 MAD data expected H2 2026; NMRA-215 obesity program targeting Q1 2027 clinical initiation [1]. R&amp;D Intensity: 0 points — while the company invests heavily in R&amp;D, this is standard for clinical-stage biotech with no other business operations.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 points — Neumora's mission to 'conquer one of the greatest medical challenges of our generation' through precision brain medicines is specific, thoughtful, and deeply intentional [2]. The company explicitly connects its work to the suffering of millions of patients with undertreated neurological and psychiatric conditions, and the integration of data science into neuroscience reflects genuine strategic commitment to solving the problem differently. Community &amp; Charitable Impact: 1 point — Neumora's pursuit of treatments for underserved brain diseases (MDD affects 280M people globally) represents meaningful community impact through its core mission, and the company has patient-focused resources on its website [3]. Employee Retention: 0 points — the company has undergone significant leadership transitions, with CEO changes from Henry Gosebruch to Paul Berns [2]. At 96 employees, limited retention data is available, and the leadership instability is a red flag. Insider Buying: 1 point — the company raised significant capital pre-IPO and post-IPO from sophisticated investors including ARCH Venture Partners, suggesting institutional conviction in the platform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Neumora is a pre-revenue clinical-stage biotech with a net loss of $236.9M and trailing EPS of -$1.45 [1]. The primary positive is a relatively strong cash position of $182.5M at year-end 2025, which management expects to fund operations into Q3 2027 — providing approximately 18 months of runway, significantly better than many clinical-stage peers [1]. D/E of 53.0% is manageable with $55M in debt against $182.5M in cash. However, ROE of -121.2% and zero profit margin reflect the reality of a company burning through capital with no revenue. The $407M market cap trades at roughly 2.2x cash, implying modest pipeline optionality value. Forward EPS of -$0.92 shows losses are expected to continue.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Neumora has a genuine Just Cause in conquering brain diseases through precision medicine, supported by a scientifically ambitious pipeline. However, leadership instability, IPO-related litigation, and the binary nature of clinical-stage biotech create tension between long-term vision and short-term survival pressures.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 points (display: 7/10) — conquering brain diseases through precision medicine is a genuine Just Cause that connects scientific ambition to human suffering [2]. The company explicitly frames its work as tackling 'one of the greatest medical challenges of our generation,' and the pipeline spanning MDD, schizophrenia, Alzheimer's, and obesity demonstrates breadth of commitment. However, the cause hasn't been tested through multi-decade consistency — Neumora was founded recently and has yet to bring a product to market.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 points (display: 2/10) — Neumora has experienced significant leadership instability with multiple CEO transitions in a short period, from founder to Henry Gosebruch to the current structure [2]. The company's internal CEO Excellence Awards program suggests an attempt to build culture, but at 96 employees with revolving C-suite leadership, organizational trust is inherently fragile. The IPO-related investor lawsuit alleging mischaracterized clinical data further undermines confidence in internal integrity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 points (display: 3/10) — Neumora competes against major pharma companies (AbbVie, Johnson &amp; Johnson, Lundbeck) in CNS therapeutics but no evidence of management acknowledging competitor strengths as learning opportunities [1]. The company's positioning emphasizes its unique precision medicine approach as superior to traditional CNS drug development, which is differentiation framed as competitive advantage rather than rival acknowledgment.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 point (display: 6/10) — after the FDA clinical hold on NMRA-266 for schizophrenia, Neumora pivoted to prioritize NMRA-898 as the lead M4 program, demonstrating ability to adapt within its pipeline [1][3]. The company also expanded from pure neuroscience into obesity (NMRA-215), showing willingness to pursue adjacent indications. However, these are incremental pipeline adjustments, not transformative business model pivots.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 point (display: 6/10) — Neumora's decision to advance two Phase 3 trials simultaneously (KOASTAL-2 and KOASTAL-3) with 400+ patients each represents a bold capital allocation bet for a company with no revenue [1]. This commitment of resources to a registrational-stage program rather than de-risking with smaller studies shows conviction. However, the leadership transitions undermine the narrative of courageous, consistent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Neumora offers a high-conviction bet on precision neuroscience with a near-term binary catalyst: KOASTAL-2 and -3 Phase 3 topline data in MDD expected Q2 2026, with 400+ patients enrolled in each trial [1]. The company's data science-driven approach to CNS drug development is genuinely differentiated, and former AbbVie CSO Henry Gosebruch's involvement validates the scientific platform [2]. At $407M market cap with $182.5M in cash (runway through Q3 2027), the market is pricing approximately $225M of pipeline optionality across seven programs spanning MDD, Alzheimer's agitation, schizophrenia, and obesity [1]. A positive Phase 3 readout in MDD — a $15B+ market — could drive multiples of current valuation.</w:t>
      </w:r>
    </w:p>
    <w:p>
      <w:pPr>
        <w:spacing w:after="120"/>
      </w:pPr>
      <w:r>
        <w:rPr>
          <w:rFonts w:ascii="Calibri" w:hAnsi="Calibri"/>
          <w:b w:val="0"/>
          <w:color w:val="3A4A28"/>
          <w:sz w:val="20"/>
        </w:rPr>
        <w:t>The bear case is severe and multi-dimensional. The FDA clinical hold on NMRA-266 for preclinical convulsions raises safety platform concerns, and the IPO-related investor lawsuit alleging mischaracterized clinical data damages credibility [3]. Multiple CEO transitions in a young company signal strategic instability. The $236.9M net loss with -121% ROE demonstrates massive cash burn, and while the 18-month runway provides breathing room, additional dilutive raises may be necessary if Phase 3 results are delayed or require follow-up studies [1]. CNS drug development has historically high failure rates (~90% in Phase 3), and the precision medicine differentiation has not yet been clinically validated. The stock trades at $2.23, down from its IPO price of ~$17, reflecting severe investor disillusionment. Forward EPS of -$0.92 signals continued losses regardless of trial outcomes in the near term.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KOASTAL-2 and KOASTAL-3 Phase 3 joint topline data readout expected Q2 2026 — positive results in MDD could transform the company's valuation given the $15B+ antidepressant market [1]</w:t>
      </w:r>
    </w:p>
    <w:p>
      <w:pPr>
        <w:spacing w:before="40" w:after="40"/>
        <w:ind w:left="283"/>
      </w:pPr>
      <w:r>
        <w:rPr>
          <w:rFonts w:ascii="Calibri" w:hAnsi="Calibri"/>
          <w:b/>
          <w:color w:val="4A6B25"/>
          <w:sz w:val="20"/>
        </w:rPr>
        <w:t xml:space="preserve">2. </w:t>
      </w:r>
      <w:r>
        <w:rPr>
          <w:rFonts w:ascii="Calibri" w:hAnsi="Calibri"/>
          <w:b w:val="0"/>
          <w:color w:val="3A4A28"/>
          <w:sz w:val="20"/>
        </w:rPr>
        <w:t>NMRA-511 Phase 1b success in Alzheimer's disease agitation demonstrated clinically meaningful effect size with favorable safety — advancement to Phase 2 would validate a second indication [1]</w:t>
      </w:r>
    </w:p>
    <w:p>
      <w:pPr>
        <w:spacing w:before="40" w:after="40"/>
        <w:ind w:left="283"/>
      </w:pPr>
      <w:r>
        <w:rPr>
          <w:rFonts w:ascii="Calibri" w:hAnsi="Calibri"/>
          <w:b/>
          <w:color w:val="4A6B25"/>
          <w:sz w:val="20"/>
        </w:rPr>
        <w:t xml:space="preserve">3. </w:t>
      </w:r>
      <w:r>
        <w:rPr>
          <w:rFonts w:ascii="Calibri" w:hAnsi="Calibri"/>
          <w:b w:val="0"/>
          <w:color w:val="3A4A28"/>
          <w:sz w:val="20"/>
        </w:rPr>
        <w:t>NMRA-898 multiple ascending dose data expected H2 2026, with potential to revive the M4 franchise after the NMRA-266 clinical hold setback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KOASTAL Phase 3 failure in MDD would be devastating — as the lead registrational program, a negative readout would likely cause 50-70% equity decline and fundamentally challenge the precision neuroscience thesis [1]</w:t>
      </w:r>
    </w:p>
    <w:p>
      <w:pPr>
        <w:spacing w:before="40" w:after="40"/>
        <w:ind w:left="283"/>
      </w:pPr>
      <w:r>
        <w:rPr>
          <w:rFonts w:ascii="Calibri" w:hAnsi="Calibri"/>
          <w:b/>
          <w:color w:val="4A6B25"/>
          <w:sz w:val="20"/>
        </w:rPr>
        <w:t xml:space="preserve">2. </w:t>
      </w:r>
      <w:r>
        <w:rPr>
          <w:rFonts w:ascii="Calibri" w:hAnsi="Calibri"/>
          <w:b w:val="0"/>
          <w:color w:val="3A4A28"/>
          <w:sz w:val="20"/>
        </w:rPr>
        <w:t>IPO-related investor lawsuit alleging mischaracterized clinical data creates ongoing legal liability and management distraction, potentially impacting ability to raise future capital [3]</w:t>
      </w:r>
    </w:p>
    <w:p>
      <w:pPr>
        <w:spacing w:before="40" w:after="40"/>
        <w:ind w:left="283"/>
      </w:pPr>
      <w:r>
        <w:rPr>
          <w:rFonts w:ascii="Calibri" w:hAnsi="Calibri"/>
          <w:b/>
          <w:color w:val="4A6B25"/>
          <w:sz w:val="20"/>
        </w:rPr>
        <w:t xml:space="preserve">3. </w:t>
      </w:r>
      <w:r>
        <w:rPr>
          <w:rFonts w:ascii="Calibri" w:hAnsi="Calibri"/>
          <w:b w:val="0"/>
          <w:color w:val="3A4A28"/>
          <w:sz w:val="20"/>
        </w:rPr>
        <w:t>Multiple CEO transitions and leadership instability in a company that requires consistent scientific vision raise execution risk for a 96-person organization running seven clinical programs simultaneously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 points — drug development for complex brain diseases requires biological discovery, clinical trials, and FDA regulatory expertise that AI cannot replace [2]. CNS drug development is notoriously difficult with high failure rates driven by the complexity of the blood-brain barrier and brain chemistry — this complexity is a moat against AI-driven disruption. Neumora's proprietary clinical data from Phase 3 trials and its precision neuroscience platform represent regulatory-gated assets that AI tools cannot substitute for. However, AI-powered drug discovery competitors (Recursion, Insilico Medicine) could accelerate rival CNS programs. AI Opportunity: 1 point — Neumora explicitly positions itself as a data science-driven neuroscience company, with its Precision Toolbox integrating computational tools into drug development [2]. This represents genuine AI/ML revenue potential if the platform's precision medicine approach proves clinically validated.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21</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Neumora Therapeutics 2026 Pipeline Strategy and Q4/Full Year 2025 Financial Results, March 2026</w:t>
      </w:r>
    </w:p>
    <w:p>
      <w:pPr>
        <w:spacing w:before="20" w:after="20"/>
        <w:ind w:left="170"/>
      </w:pPr>
      <w:r>
        <w:rPr>
          <w:rFonts w:ascii="Calibri" w:hAnsi="Calibri"/>
          <w:b/>
          <w:color w:val="4A6B25"/>
          <w:sz w:val="15"/>
        </w:rPr>
        <w:t xml:space="preserve">2. </w:t>
      </w:r>
      <w:r>
        <w:rPr>
          <w:rFonts w:ascii="Calibri" w:hAnsi="Calibri"/>
          <w:b w:val="0"/>
          <w:color w:val="3A4A28"/>
          <w:sz w:val="17"/>
        </w:rPr>
        <w:t>Neumora Therapeutics Corporate Website, Leadership Team, and About Page,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BioPharma Dive — Neumora Clinical Hold and Investor Lawsuit Coverage, 2024-2026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