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NMRK</w:t>
      </w:r>
      <w:r>
        <w:rPr>
          <w:rFonts w:ascii="Calibri" w:hAnsi="Calibri"/>
          <w:b/>
          <w:color w:val="1A2010"/>
          <w:sz w:val="40"/>
        </w:rPr>
        <w:t xml:space="preserve">  Newmark Group, Inc.</w:t>
      </w:r>
    </w:p>
    <w:p>
      <w:pPr>
        <w:spacing w:after="120"/>
      </w:pPr>
      <w:r>
        <w:rPr>
          <w:rFonts w:ascii="Calibri" w:hAnsi="Calibri"/>
          <w:b/>
          <w:color w:val="6E8450"/>
          <w:sz w:val="18"/>
        </w:rPr>
        <w:t>GROWTH SLEEVE · 2026-04-26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Newmark Group is a commercial real estate advisory and services firm offering capital markets, leasing, property management, valuation, and consulting services globally. The company provides investment sales, commercial mortgage brokerage (including GSE/FHA lending), debt placement, and management services across office, industrial, retail, and multifamily asset classes.</w:t>
      </w:r>
    </w:p>
    <w:p>
      <w:r>
        <w:rPr>
          <w:rFonts w:ascii="Calibri" w:hAnsi="Calibri"/>
          <w:b/>
          <w:color w:val="6E8450"/>
          <w:sz w:val="18"/>
        </w:rPr>
        <w:t>8,800 Employees · https://www.nmrk.com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Newmark has grown revenue from $2.47B in 2023 to $3.29B in 2025 (33% in two years), successfully expanding its capital markets and management/servicing businesses through organic growth and strategic hires in a recovering CRE market [1]. The company has capitalized on the post-pandemic commercial real estate recovery more aggressively than peers. AI Deployment (1/2): Management has referenced leveraging AI and technology for competitive advantage in broker productivity and data analytics, though specific AI products or quantified savings have not been disclosed [2]. Market Share (1/2): Newmark is a meaningful player in U.S. commercial real estate services but trails larger competitors CBRE and JLL; the company is gaining share through aggressive recruiting of top-producing brokers [1]. Pipeline (1/2): FY2026 guidance of $3.7-3.8B revenue (up 13-15%) with adjusted EBITDA of $635-675M provides solid near-term visibility, with capital markets growth expected above the midpoint [1]. R&amp;D Intensity (0/1): As a services firm, Newmark's technology spending is below technology-focused peers; innovation is primarily through talent acquisition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Newmark positions itself as a trusted advisor delivering innovative solutions for commercial real estate clients — a clear but not distinctive purpose that could describe any CRE services firm [3]. The mission lacks the depth or transformative ambition that would differentiate it from CBRE, JLL, or Cushman &amp; Wakefield. Community Impact (1/2): Newmark achieved carbon neutrality in business operations in 2023 and committed to becoming carbon negative by 2030, and has published ESG/Corporate Responsibility reports with sustainability programs [3]. However, community impact is limited relative to the firm's scale. Employee Retention (0/2): Glassdoor rating of 3.5/5 (declining 4% YoY) with only 59% recommending to a friend suggests below-average employee satisfaction; reviews cite poor and unprofessional leadership and unclear role structures [2]. Insider Buying (1/2): CEO Barry Gosin gifted 300,000 shares in Dec 2025 (demonstrating ownership), but Howard Lutnick (controlling shareholder) sold $57M in shares in October 2025, creating a mixed insider signal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Newmark generated $3.29B in revenue (up 15.3% YoY) with net income of $126.2M in FY2025, doubling from $61.2M in FY2024 [1]. Forward P/E of 7.56x is exceptionally low for a company guiding 13-15% revenue growth and 12-19% adjusted EPS growth in FY2026, reflecting the market's discount on CRE services [5]. D/E of 120% is moderate for the industry but above the 70% target. ROE of 9.45% is below the 15% target, constrained by thin profit margins of 3.83% typical of brokerage-model services firms [5]. Revenue growth has been consistent at 6-8% CAGR over 3 years with FY2025 accelerating to 15.3% on CRE market recovery. Liquidity is adequate: 1.69M avg volume × $16.04 = $27.1M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Newmark under CEO Barry Gosin (47-year tenure) demonstrates stability and persistence but operates primarily as a financially-driven brokerage competing on talent acquisition rather than advancing a deeper purpose. The company's growth strategy — recruiting top brokers from competitors and leveraging the CRE market cycle — is effective but fundamentally finite in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Newmark articulates a general purpose around delivering trusted advisory services and innovative solutions for commercial real estate, but this is interchangeable with any CRE peer [3]. The company's competitive language focuses on market share gains, hiring top producers from rivals, and transaction volume — hallmarks of a finite competitive mindset. No evidence of a deeper purpose that transcends industry competition.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Barry Gosin's extraordinary 47-year tenure provides leadership continuity rarely seen in any industry [2]. However, Glassdoor reviews (3.5/5, declining) cite poor and unprofessional leadership, unclear organizational structure, and frequent reporting changes, suggesting organizational trust issues below the senior executive level [2]. The brokerage model creates an eat-what-you-kill culture that can undermine team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Newmark's competitive strategy is explicitly focused on recruiting producers away from CBRE, JLL, and Cushman &amp; Wakefield — a talent-poaching approach that frames competition as a war for market share rather than motivation for self-improvement [1]. Management commentary emphasizes market share gains and transaction volume leadership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Newmark has expanded from a traditional brokerage into capital markets, management/servicing, and multifamily lending, diversifying revenue streams beyond pure leasing [1]. The company's separation from BGC Group in 2018 and subsequent build-out of the capital markets platform demonstrate meaningful business model evolution. However, these are incremental extensions within CRE services,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Newmark's aggressive hiring during the CRE downturn of 2022-2023, investing in talent when competitors were cutting costs, demonstrates willingness to sacrifice short-term margins for long-term market positioning [1]. The FY2026 guidance of $635-675M adjusted EBITDA (up 13-20%) suggests this countercyclical investment is paying off. However, this is standard cyclical business management rather than a principled stand against industry convention.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Newmark Group is a commercial real estate services firm delivering accelerating growth in a recovering CRE market. FY2025 revenue of $3.29B (up 15.3% YoY) with net income doubling to $126.2M demonstrates strong operational leverage as CRE transaction volumes normalize [1]. FY2026 guidance of $3.7-3.8B revenue (up 13-15%) with adjusted EPS of $1.82-1.92 (up 12-19%) exceeds consensus expectations, with capital markets expected to lead growth [1]. At a forward P/E of 7.56x, NMRK trades at a steep discount to peers CBRE (~22x) and JLL (~18x), creating significant upside if margin expansion and revenue growth continue. CEO Gosin's 47-year tenure provides rare leadership stability, and the company's aggressive talent recruitment positions it to capture share as CRE markets fully recover [2].</w:t>
      </w:r>
    </w:p>
    <w:p>
      <w:pPr>
        <w:spacing w:after="120"/>
      </w:pPr>
      <w:r>
        <w:rPr>
          <w:rFonts w:ascii="Calibri" w:hAnsi="Calibri"/>
          <w:b w:val="0"/>
          <w:color w:val="3A4A28"/>
          <w:sz w:val="20"/>
        </w:rPr>
        <w:t>The bear case centers on cyclical sensitivity and margin fragility. Profit margins of 3.83% are razor-thin, and the brokerage model's heavy reliance on compensation (top-producing brokers) creates structural margin compression as the firm scales [5]. Howard Lutnick's $57M stock sale in October 2025 raises governance questions about the controlling shareholder's commitment, particularly given his appointment as U.S. Secretary of Commerce in 2025 [4]. D/E of 120% limits financial flexibility in a potential CRE downturn. The company's dependence on commercial real estate transaction volumes makes it highly sensitive to interest rate changes and economic cycles — a recession would compress both revenues and margins simultaneously. Revenue concentration in the U.S. commercial property market exposes the firm to regional economic shocks and secular trends away from traditional office space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 market recovery acceleration — FY2026 guidance of $3.7-3.8B revenue with capital markets growth expected above midpoint as transaction volumes normalize post-rate-cut cycle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potential — forward P/E of 7.56x vs. CBRE at ~22x implies significant multiple expansion opportunity if growth and margins prove durable [5]</w:t>
      </w:r>
    </w:p>
    <w:p>
      <w:pPr>
        <w:spacing w:before="40" w:after="40"/>
        <w:ind w:left="283"/>
      </w:pPr>
      <w:r>
        <w:rPr>
          <w:rFonts w:ascii="Calibri" w:hAnsi="Calibri"/>
          <w:b/>
          <w:color w:val="4A6B25"/>
          <w:sz w:val="20"/>
        </w:rPr>
        <w:t xml:space="preserve">3. </w:t>
      </w:r>
      <w:r>
        <w:rPr>
          <w:rFonts w:ascii="Calibri" w:hAnsi="Calibri"/>
          <w:b w:val="0"/>
          <w:color w:val="3A4A28"/>
          <w:sz w:val="20"/>
        </w:rPr>
        <w:t>Management and servicing revenue growth provides recurring fee income that reduces cyclical volatility and supports margin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sensitivity — CRE services revenue is highly correlated with transaction volumes and interest rates; a recession or rate reversal would sharply compress revenues and thin 3.83% margins [5]</w:t>
      </w:r>
    </w:p>
    <w:p>
      <w:pPr>
        <w:spacing w:before="40" w:after="40"/>
        <w:ind w:left="283"/>
      </w:pPr>
      <w:r>
        <w:rPr>
          <w:rFonts w:ascii="Calibri" w:hAnsi="Calibri"/>
          <w:b/>
          <w:color w:val="4A6B25"/>
          <w:sz w:val="20"/>
        </w:rPr>
        <w:t xml:space="preserve">2. </w:t>
      </w:r>
      <w:r>
        <w:rPr>
          <w:rFonts w:ascii="Calibri" w:hAnsi="Calibri"/>
          <w:b w:val="0"/>
          <w:color w:val="3A4A28"/>
          <w:sz w:val="20"/>
        </w:rPr>
        <w:t>Governance concern — Howard Lutnick's $57M stock sale and dual role as controlling shareholder and U.S. Secretary of Commerce creates potential conflicts and signals reduced commitment [4]</w:t>
      </w:r>
    </w:p>
    <w:p>
      <w:pPr>
        <w:spacing w:before="40" w:after="40"/>
        <w:ind w:left="283"/>
      </w:pPr>
      <w:r>
        <w:rPr>
          <w:rFonts w:ascii="Calibri" w:hAnsi="Calibri"/>
          <w:b/>
          <w:color w:val="4A6B25"/>
          <w:sz w:val="20"/>
        </w:rPr>
        <w:t xml:space="preserve">3. </w:t>
      </w:r>
      <w:r>
        <w:rPr>
          <w:rFonts w:ascii="Calibri" w:hAnsi="Calibri"/>
          <w:b w:val="0"/>
          <w:color w:val="3A4A28"/>
          <w:sz w:val="20"/>
        </w:rPr>
        <w:t>Structural margin pressure — brokerage compensation model limits profit margin expansion as top producers capture a large share of revenue growth through guaranteed compensation packages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Commercial real estate services are partially protected from AI disruption — investment sales brokerage relies heavily on relationship-driven deal origination, market knowledge, and negotiation skills that AI cannot replicate [2]. Property management and servicing involve physical-world operations with regulatory complexity. However, AI tools are increasingly capable of automating valuation analysis, market research, lease abstracting, and financial modeling, which constitute meaningful support functions within the CRE services value chain. The brokerage model's dependence on human relationships provides a meaningful moat, but AI-driven competitors could erode advisory margins over time. AI Opportunity (1/1): Newmark management has referenced deploying AI for broker productivity tools and data analytics, and the company's extensive transaction database creates AI-training data advantages, though specific revenue attribution to AI products has not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Newmark Group Q4 and Full Year 2025 Earnings Release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Newmark employee reviews (988+ reviews, 3.5/5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Newmark Group ESG/Corporate Responsibility Report and corporate website,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SEC EDGAR — Newmark Group Form 4 insider transaction filings,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NMRK key statistics and market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