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NMR</w:t>
      </w:r>
      <w:r>
        <w:rPr>
          <w:rFonts w:ascii="Calibri" w:hAnsi="Calibri"/>
          <w:b/>
          <w:color w:val="1A2010"/>
          <w:sz w:val="40"/>
        </w:rPr>
        <w:t xml:space="preserve">  Nomura Holdings, Inc.</w:t>
      </w:r>
    </w:p>
    <w:p>
      <w:pPr>
        <w:spacing w:after="120"/>
      </w:pPr>
      <w:r>
        <w:rPr>
          <w:rFonts w:ascii="Calibri" w:hAnsi="Calibri"/>
          <w:b/>
          <w:color w:val="6E8450"/>
          <w:sz w:val="18"/>
        </w:rPr>
        <w:t>GROWTH SLEEVE · 2026-04-23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Japan</w:t>
      </w:r>
    </w:p>
    <w:p>
      <w:pPr>
        <w:spacing w:after="80"/>
      </w:pPr>
      <w:r>
        <w:rPr>
          <w:rFonts w:ascii="Calibri" w:hAnsi="Calibri"/>
          <w:b w:val="0"/>
          <w:color w:val="3A4A28"/>
          <w:sz w:val="20"/>
        </w:rPr>
        <w:t>Nomura Holdings is Japan's largest investment bank and securities firm, providing wealth management, investment management, and wholesale services (sales &amp; trading, investment banking, advisory) globally. Founded in 1925, the company operates across Japan, the Americas, Europe, and Asia-Pacific with a significant presence in fixed income, equities, and M&amp;A advisory.</w:t>
      </w:r>
    </w:p>
    <w:p>
      <w:r>
        <w:rPr>
          <w:rFonts w:ascii="Calibri" w:hAnsi="Calibri"/>
          <w:b/>
          <w:color w:val="6E8450"/>
          <w:sz w:val="18"/>
        </w:rPr>
        <w:t>27,242 Employees · https://www.nomuraholdings.com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Nomura has achieved incremental business growth over the past five years — nine-month FY2026 net revenue rose 10% to ¥1,590.5B and investment banking revenue surged 31% QoQ in Q3 FY2026 [1]. However, there have been no transformative product launches, market pivots, or business model reinventions; the firm operates the same securities/advisory model it has for decades. AI Deployment (0/2): No evidence of AI-powered products shipping to clients or quantified AI-driven cost savings. Employee reviews cite innovation being 'discouraged' with outdated systems [3]. Market Share (2/2): Nomura is the dominant securities firm in Japan with leading market share in domestic equities, fixed income, and investment banking. The firm holds the #1 position in Japanese government bond trading and IPO underwriting [1]. Pipeline (0/2): No specific next-generation products or strategic initiatives with named timelines beyond general growth targets. Product pipeline visibility is minimal. R&amp;D Intensity (1/1): The ¥60B share buyback program and continued technology infrastructure investment represent capital deployment at industry-average levels for a major investment bank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Nomura's stated vision is 'Connecting Markets East &amp; West' with a purpose to 'deliver holistic solutions' — clear and identifies a niche (bridging Asian and Western capital markets) but not deeply distinctive or transformative [2]. Community Impact (1/2): Nomura Foundation supports education and cultural programs in Japan and Asia; the company has corporate philanthropy programs but they are standard for a major financial institution without distinctive scale or impact [4]. Employee Retention (0/2): Glassdoor reviews (3.8/5.0) describe a rigid, hierarchical culture where 'promotions are tied to tenure rather than performance' and 'innovation is discouraged' [3]. No evidence of above-average retention metrics. Insider Buying (1/2): The ¥60B share buyback program (up to 100M shares, Feb-Sep 2026) signals management confidence in the stock's value, though this is corporate capital allocation rather than personal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Nomura's financial profile is strong when viewed through the growth scoring lens. Revenue grew from ¥1,143.7B in FY2022 to ¥1,662.4B in FY2025, a 13.3% 3-year CAGR, with FY2026 nine-month revenue up 10% YoY to ¥1,590.5B [1]. Forward P/E of 14.9x and PEG of 0.81 indicate attractive valuation for a growing capital markets business [5]. Profit margin of 17.6% and ROE of 9.9% are solid for a diversified financial institution, though ROE is below the 15% target [5]. D/E of 895% is structural for a financial services firm that uses leverage as its business model (¥34.2T debt vs. ¥49.5T assets) and scores mechanically at 0 [5]. Liquidity floor easily cleared: 2.05M avg vol × $8.32 = $17.1M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Nomura plays a mixed game — the 101-year institutional history demonstrates endurance, but the company's rigid hierarchical culture, repeated scandals (insider trading 2012, market manipulation 2024), and quarterly-focused financial targets suggest finite game tendencies. The firm survives by institutional inertia and market position rather than by pursuing an inspiring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Nomura's vision of 'Connecting Markets East &amp; West' identifies a genuine role but lacks the aspirational quality of a Just Cause [2]. The company exists to facilitate capital flows and generate returns — functional but not inspirational. The vision hasn't driven transformative strategic decisions or attracted people who sacrifice for the mission. Sinek would see a company that has persisted for 101 years through institutional resilience rather than cause-driven purpose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rigid, hierarchical culture where 'innovation is discouraged' and 'promotions are tied to tenure rather than performance' [3]. The 2024 market manipulation scandal — where an employee was found to have manipulated bond derivatives trading, resulting in major clients halting business — indicates systemic compliance failures and a culture where risk-taking goes unchecked [4]. The 2012 insider trading scandal that forced CEO resignation and the 2024 China data breach compound governance concerns. This pattern suggests a low-trust environment where systemic issues persist across decades (0/2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Nomura's competitive positioning acknowledges the strengths of global rivals — Goldman Sachs, Morgan Stanley, JPMorgan — and uses their dominance in Western markets as motivation to strengthen its East-West bridging capability [2]. The firm's strategy of deepening Asian capital markets expertise rather than trying to out-compete global bulge brackets in their home markets shows an infinite competitive mindset focused on improving its own distinctive value proposition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Nomura has evolved from a domestic Japanese brokerage to a global investment bank through the 2008 acquisition of Lehman Brothers' Asian and European operations — a transformative but troubled pivot that took over a decade to integrate and generated significant losses [4]. The firm has adapted its business mix, growing wealth management and investment management alongside the traditional wholesale business. However, these shifts were incremental rather than cause-driven transformations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2008 Lehman Brothers acquisition during the financial crisis — when most firms were retrenching — showed genuine courage and long-term vision, even though execution was rocky [4]. The ¥60B buyback program and continued investment in global expansion despite market volatility show willingness to invest through uncertainty. However, the pattern of scandal-response-reform-repeat (2012 insider trading, 2024 manipulation) suggests leadership courage on compliance and culture is lacking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Nomura is Japan's premier investment bank delivering accelerating financial performance — nine-month FY2026 net revenue of ¥1,590.5B (up 10% YoY) with ROE hitting 10.3% for seven consecutive quarters above the 8-10% target range [1]. Investment banking revenue surged 31% QoQ in Q3, driven by increased cross-border M&amp;A and financing activity as Nomura leverages its unique East-West positioning. At 14.9x forward P/E and 0.81 PEG ratio, the ADR trades at a significant discount to Western peers (Goldman Sachs ~13x, Morgan Stanley ~14x) despite comparable growth rates [5]. The ¥60B share buyback and 4.95% dividend yield provide attractive capital returns, while Japan's structural tailwinds (NISA expansion, corporate governance reform, Tokyo Stock Exchange reforms) support the domestic wealth management franchise.</w:t>
      </w:r>
    </w:p>
    <w:p>
      <w:pPr>
        <w:spacing w:after="120"/>
      </w:pPr>
      <w:r>
        <w:rPr>
          <w:rFonts w:ascii="Calibri" w:hAnsi="Calibri"/>
          <w:b w:val="0"/>
          <w:color w:val="3A4A28"/>
          <w:sz w:val="20"/>
        </w:rPr>
        <w:t>The bear case centers on recurring governance failures and structural challenges. The 2024 market manipulation scandal led at least 10 major Japanese financial institutions to temporarily halt business with Nomura, directly threatening the firm's domestic franchise [4]. This follows the 2012 insider trading scandal that forced CEO resignation, suggesting systemic compliance culture issues. The 895% D/E ratio reflects structural leverage inherent to investment banking but creates vulnerability during market dislocations. Non-Japan operations — particularly the troubled Lehman Brothers integration legacy in Europe — have historically generated subpar returns. EPS declined 8.7% in the most recent quarter despite revenue growth, indicating margin pressure from compensation and technology costs [5]. Currency risk (ADR denominated in USD, earnings in JPY) adds volatility for US-based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Japan's structural capital markets reform — NISA expansion, corporate governance improvements, and Tokyo Stock Exchange reforms driving domestic wealth management and equity trading volumes [1]</w:t>
      </w:r>
    </w:p>
    <w:p>
      <w:pPr>
        <w:spacing w:before="40" w:after="40"/>
        <w:ind w:left="283"/>
      </w:pPr>
      <w:r>
        <w:rPr>
          <w:rFonts w:ascii="Calibri" w:hAnsi="Calibri"/>
          <w:b/>
          <w:color w:val="4A6B25"/>
          <w:sz w:val="20"/>
        </w:rPr>
        <w:t xml:space="preserve">2. </w:t>
      </w:r>
      <w:r>
        <w:rPr>
          <w:rFonts w:ascii="Calibri" w:hAnsi="Calibri"/>
          <w:b w:val="0"/>
          <w:color w:val="3A4A28"/>
          <w:sz w:val="20"/>
        </w:rPr>
        <w:t>Cross-border M&amp;A acceleration as Japanese companies pursue overseas acquisitions and foreign capital flows into Japan, leveraging Nomura's East-West positioning [1]</w:t>
      </w:r>
    </w:p>
    <w:p>
      <w:pPr>
        <w:spacing w:before="40" w:after="40"/>
        <w:ind w:left="283"/>
      </w:pPr>
      <w:r>
        <w:rPr>
          <w:rFonts w:ascii="Calibri" w:hAnsi="Calibri"/>
          <w:b/>
          <w:color w:val="4A6B25"/>
          <w:sz w:val="20"/>
        </w:rPr>
        <w:t xml:space="preserve">3. </w:t>
      </w:r>
      <w:r>
        <w:rPr>
          <w:rFonts w:ascii="Calibri" w:hAnsi="Calibri"/>
          <w:b w:val="0"/>
          <w:color w:val="3A4A28"/>
          <w:sz w:val="20"/>
        </w:rPr>
        <w:t>¥60B share buyback program (Feb-Sep 2026) plus 4.95% dividend yield providing near-term shareholder return catalyst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Recurring governance and compliance failures — 2024 bond manipulation scandal followed 2012 insider trading scandal, indicating systemic cultural issues that could result in further client defections and regulatory penalties [4]</w:t>
      </w:r>
    </w:p>
    <w:p>
      <w:pPr>
        <w:spacing w:before="40" w:after="40"/>
        <w:ind w:left="283"/>
      </w:pPr>
      <w:r>
        <w:rPr>
          <w:rFonts w:ascii="Calibri" w:hAnsi="Calibri"/>
          <w:b/>
          <w:color w:val="4A6B25"/>
          <w:sz w:val="20"/>
        </w:rPr>
        <w:t xml:space="preserve">2. </w:t>
      </w:r>
      <w:r>
        <w:rPr>
          <w:rFonts w:ascii="Calibri" w:hAnsi="Calibri"/>
          <w:b w:val="0"/>
          <w:color w:val="3A4A28"/>
          <w:sz w:val="20"/>
        </w:rPr>
        <w:t>Investment banking cycle risk — IB revenue surged 31% QoQ but is highly cyclical; any global M&amp;A slowdown or market dislocation would compress wholesale earnings significantly [1]</w:t>
      </w:r>
    </w:p>
    <w:p>
      <w:pPr>
        <w:spacing w:before="40" w:after="40"/>
        <w:ind w:left="283"/>
      </w:pPr>
      <w:r>
        <w:rPr>
          <w:rFonts w:ascii="Calibri" w:hAnsi="Calibri"/>
          <w:b/>
          <w:color w:val="4A6B25"/>
          <w:sz w:val="20"/>
        </w:rPr>
        <w:t xml:space="preserve">3. </w:t>
      </w:r>
      <w:r>
        <w:rPr>
          <w:rFonts w:ascii="Calibri" w:hAnsi="Calibri"/>
          <w:b w:val="0"/>
          <w:color w:val="3A4A28"/>
          <w:sz w:val="20"/>
        </w:rPr>
        <w:t>Currency and geopolitical exposure — JPY/USD fluctuation impacts ADR returns, while Japan-China tensions and global trade disruption could affect cross-border deal flow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Nomura's core business — securities trading, investment banking advisory, and wealth management — faces moderate AI disruption risk. Algorithmic and AI-driven trading already accounts for a significant portion of equity and fixed income markets, putting pressure on traditional sales &amp; trading desks [1]. Wealth management advisory services face substitution risk from robo-advisors and AI-powered financial planning tools. However, complex M&amp;A advisory, underwriting relationships, and institutional client coverage require human judgment, relationship capital, and regulatory expertise that AI cannot fully replicate. The firm's deep Japanese institutional relationships and government bond market access provide structural moats. AI Opportunity (0/1): No evidence of AI-generated revenue or AI-powered client-facing products. Employee reviews indicate outdated technology systems rather than AI innovation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Nomura Holdings Q3 FY2026 Earnings — Revenue up 7% QoQ, ROE 10.3%, ¥60B buyback announced, January 2026</w:t>
      </w:r>
    </w:p>
    <w:p>
      <w:pPr>
        <w:spacing w:before="20" w:after="20"/>
        <w:ind w:left="170"/>
      </w:pPr>
      <w:r>
        <w:rPr>
          <w:rFonts w:ascii="Calibri" w:hAnsi="Calibri"/>
          <w:b/>
          <w:color w:val="4A6B25"/>
          <w:sz w:val="15"/>
        </w:rPr>
        <w:t xml:space="preserve">2. </w:t>
      </w:r>
      <w:r>
        <w:rPr>
          <w:rFonts w:ascii="Calibri" w:hAnsi="Calibri"/>
          <w:b w:val="0"/>
          <w:color w:val="3A4A28"/>
          <w:sz w:val="17"/>
        </w:rPr>
        <w:t>Nomura Holdings Corporate Website — Leadership, Vision, and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Nomura Holdings workplace culture, 3.8/5.0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Japan Times / Bloomberg — Nomura market manipulation scandal, client halts, insider trading history,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NMR (Nomura Holdings ADR),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