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NNDM</w:t>
      </w:r>
      <w:r>
        <w:rPr>
          <w:rFonts w:ascii="Calibri" w:hAnsi="Calibri"/>
          <w:b/>
          <w:color w:val="1A2010"/>
          <w:sz w:val="40"/>
        </w:rPr>
        <w:t xml:space="preserve">  Nano Dimension Ltd.</w:t>
      </w:r>
    </w:p>
    <w:p>
      <w:pPr>
        <w:spacing w:after="120"/>
      </w:pPr>
      <w:r>
        <w:rPr>
          <w:rFonts w:ascii="Calibri" w:hAnsi="Calibri"/>
          <w:b/>
          <w:color w:val="6E8450"/>
          <w:sz w:val="18"/>
        </w:rPr>
        <w:t>GROWTH SLEEVE · 2026-04-14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Israel</w:t>
      </w:r>
    </w:p>
    <w:p>
      <w:pPr>
        <w:spacing w:after="80"/>
      </w:pPr>
      <w:r>
        <w:rPr>
          <w:rFonts w:ascii="Calibri" w:hAnsi="Calibri"/>
          <w:b w:val="0"/>
          <w:color w:val="3A4A28"/>
          <w:sz w:val="20"/>
        </w:rPr>
        <w:t>Nano Dimension Ltd. is an Israeli additive manufacturing company that designs and produces industrial 3D printers for electronics and metal parts. After acquiring Markforged in April 2025 and briefly owning Desktop Metal (which filed Chapter 11 in Q3 2025), Nano Dimension reorganized around a focused execution strategy under new CEO David Stehlin following an activist-driven board overhaul.</w:t>
      </w:r>
    </w:p>
    <w:p>
      <w:r>
        <w:rPr>
          <w:rFonts w:ascii="Calibri" w:hAnsi="Calibri"/>
          <w:b/>
          <w:color w:val="6E8450"/>
          <w:sz w:val="18"/>
        </w:rPr>
        <w:t>950 Employees · https://www.nano-di.com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Multiple acquisitions (DeepCube AI 2021, Markforged April 2025, Desktop Metal April 2025) reshaped the business, but Desktop Metal filed Chapter 11 in Q3 2025, undermining the M&amp;A thesis [1][2]. Markforged integration is real and added $54.3M of consolidated revenue [1]. AI Deployment (1/2): Markforged's AI-driven precision tools and the legacy DeepCube neural-network platform are integrated into NNDM's printing stack, but no specific revenue or savings figures are disclosed [3]. Market Share Leadership (0/2): Nano Dimension is a meaningful but not leading player in industrial additive manufacturing; competitors like Stratasys and 3D Systems retain larger installed bases. Product Pipeline (1/2): The company has discussed roadmap convergence between Markforged and legacy NNDM platforms but has not given firm launch dates or revenue targets. R&amp;D Intensity (0/1): With $102.4M in revenue and a $30M+ Markforged net loss, R&amp;D spend is meaningful but not differentiated against larger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Nano Dimension's stated purpose centers on 'revolutionizing how high-performance electronic devices are made' through additive manufacturing [3]. Clear but not distinctive — common framing in the additive manufacturing space. Community Impact (0/2): No evidence of distinctive charitable or community programs surfaced in research. Employee Retention (0/2): Significant restructuring under new CEO David Stehlin has 'broken down silos' and eliminated management layers — a sign of churn rather than retention [2]. The activist-driven ouster of prior CEO Yoav Stern in late 2024 and removal of interim CEO Ofir Baharav in September 2025 suggest organizational instability. Insider Buying (1/2): The activist-aligned board has reset capital allocation but specific net insider buying data is limited; new directors took positions through the proxy contest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 calculation on Growth-stock weights. D/E 5.9% (excellent, 1.0). ROE -14.2% (floor, 0.0, 2x weight). Revenue growth YoY +113.5% (acquisition-driven, capped 1.0). Revenue growth 5yr CAGR ~30%+ given Markforged consolidation (1.0, 2x weight). Forward P/E 172 (well above 60 floor, 0.0). Profit margin -286% (floor, 0.0). Forward PEG not meaningful given negative earnings (0.0, 2x weight). Weighted: (1.0+0+1.0+2.0+0+0+0)/10 = 0.40 → ~4. Adjusted to 2 reflecting the dominant weight of negative ROE/margins/PEG signals — net loss of $1.36/share, $30M Markforged net loss consolidated, and Desktop Metal write-down. Liquidity check: 2.49M avg volume × $1.72 = $4.28M (passes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Nano Dimension exhibits classic finite-game patterns: serial M&amp;A driven by activist pressure, three CEOs in 12 months, a strategic alternatives review opened in September 2025, and a Desktop Metal acquisition that ended in Chapter 11. The new leadership team is articulating discipline but has not yet earned multi-cycle credibility.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'revolutionize high-performance electronics manufacturing' framing is genuine but functions more as product positioning than a Sinek-style Just Cause. Strategy has zigzagged from cash-rich holding company to aggressive M&amp;A roll-up to strategic alternatives review, undermining purpose continuity.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CEOs in 12 months (Yoav Stern out Dec 2024, Ofir Baharav appointed and removed Sept 2025, David Stehlin stepping in), G&amp;A cuts, and 'broken silos' restructuring point to a low-trust environment in transition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Public commentary has framed competitors as targets rather than learning partners; there is little evidence of Sinek-style admiration for rival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Nano Dimension has demonstrated willingness to deploy its cash hoard into acquisitions (Markforged, Desktop Metal) rather than sit on it — and is now exploring strategic alternatives. The pivots are real but driven by external pressure, not Just-Cause-led conviction.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has been reactive rather than courageous. The Markforged and Desktop Metal acquisitions were partly defensive responses to activist pressure, and the September 2025 strategic alternatives review signals exploration of a sale rather than long-term commitment to building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Nano Dimension is now a $102M-revenue additive manufacturing platform that has consolidated Markforged and rationalized capital allocation under a new, activist-installed leadership team. Q4 2025 revenue grew 142% YoY to $35.3M [1], suggesting the integrated platform can scale, and the company retains a substantial cash cushion to fund the transition. If new CEO David Stehlin executes the 'chaos to discipline' playbook — cutting G&amp;A, focusing the product portfolio, and converging Markforged + legacy NNDM technology stacks — there is an option-value path back to GAAP profitability and a re-rating toward additive manufacturing peers.</w:t>
      </w:r>
    </w:p>
    <w:p>
      <w:pPr>
        <w:spacing w:after="120"/>
      </w:pPr>
      <w:r>
        <w:rPr>
          <w:rFonts w:ascii="Calibri" w:hAnsi="Calibri"/>
          <w:b w:val="0"/>
          <w:color w:val="3A4A28"/>
          <w:sz w:val="20"/>
        </w:rPr>
        <w:t>The bear case is more concrete. Serial M&amp;A blew up once already with Desktop Metal's Chapter 11 filing in Q3 2025. Fiscal 2025 net loss of $(1.36)/share, profit margin of -286%, ROE of -14%, and forward P/E of 172x all signal that the integrated business is far from earnings power. Three CEOs in 12 months, an activist-controlled board, and a strategic alternatives review opened in September 2025 [2] suggest the most likely outcome is a sale of the business — meaning current shareholders are betting on a strategic premium rather than fundamental compounding. Until the strategic review concludes and the integrated Markforged-NNDM platform shows profitable growth, the equity is option-like.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Conclusion of the September 2025 strategic alternatives review — sale, spin, or stand-alone plan</w:t>
      </w:r>
    </w:p>
    <w:p>
      <w:pPr>
        <w:spacing w:before="40" w:after="40"/>
        <w:ind w:left="283"/>
      </w:pPr>
      <w:r>
        <w:rPr>
          <w:rFonts w:ascii="Calibri" w:hAnsi="Calibri"/>
          <w:b/>
          <w:color w:val="4A6B25"/>
          <w:sz w:val="20"/>
        </w:rPr>
        <w:t xml:space="preserve">2. </w:t>
      </w:r>
      <w:r>
        <w:rPr>
          <w:rFonts w:ascii="Calibri" w:hAnsi="Calibri"/>
          <w:b w:val="0"/>
          <w:color w:val="3A4A28"/>
          <w:sz w:val="20"/>
        </w:rPr>
        <w:t>Markforged integration synergies translating into gross margin expansion above the 27% Q2 2025 baseline</w:t>
      </w:r>
    </w:p>
    <w:p>
      <w:pPr>
        <w:spacing w:before="40" w:after="40"/>
        <w:ind w:left="283"/>
      </w:pPr>
      <w:r>
        <w:rPr>
          <w:rFonts w:ascii="Calibri" w:hAnsi="Calibri"/>
          <w:b/>
          <w:color w:val="4A6B25"/>
          <w:sz w:val="20"/>
        </w:rPr>
        <w:t xml:space="preserve">3. </w:t>
      </w:r>
      <w:r>
        <w:rPr>
          <w:rFonts w:ascii="Calibri" w:hAnsi="Calibri"/>
          <w:b w:val="0"/>
          <w:color w:val="3A4A28"/>
          <w:sz w:val="20"/>
        </w:rPr>
        <w:t>Return to positive operating cash flow as G&amp;A cuts annualize in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cash burn from integration and restructuring with no visible path to GAAP profitability — fiscal 2025 EPS was $(1.36)</w:t>
      </w:r>
    </w:p>
    <w:p>
      <w:pPr>
        <w:spacing w:before="40" w:after="40"/>
        <w:ind w:left="283"/>
      </w:pPr>
      <w:r>
        <w:rPr>
          <w:rFonts w:ascii="Calibri" w:hAnsi="Calibri"/>
          <w:b/>
          <w:color w:val="4A6B25"/>
          <w:sz w:val="20"/>
        </w:rPr>
        <w:t xml:space="preserve">2. </w:t>
      </w:r>
      <w:r>
        <w:rPr>
          <w:rFonts w:ascii="Calibri" w:hAnsi="Calibri"/>
          <w:b w:val="0"/>
          <w:color w:val="3A4A28"/>
          <w:sz w:val="20"/>
        </w:rPr>
        <w:t>Strategic review concludes with a low-premium sale or no transaction, leaving shareholders exposed to standalone execution risk</w:t>
      </w:r>
    </w:p>
    <w:p>
      <w:pPr>
        <w:spacing w:before="40" w:after="40"/>
        <w:ind w:left="283"/>
      </w:pPr>
      <w:r>
        <w:rPr>
          <w:rFonts w:ascii="Calibri" w:hAnsi="Calibri"/>
          <w:b/>
          <w:color w:val="4A6B25"/>
          <w:sz w:val="20"/>
        </w:rPr>
        <w:t xml:space="preserve">3. </w:t>
      </w:r>
      <w:r>
        <w:rPr>
          <w:rFonts w:ascii="Calibri" w:hAnsi="Calibri"/>
          <w:b w:val="0"/>
          <w:color w:val="3A4A28"/>
          <w:sz w:val="20"/>
        </w:rPr>
        <w:t>Industry-wide weakness in industrial additive manufacturing demand following Desktop Metal Chapter 11 and broader sector consolidation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Industrial additive manufacturing is a physical-world business that AI cannot directly displace — printers, materials, and factory floor operations remain hardware-bound [3]. AI is being used as an enabler in print path optimization and quality control through DeepCube and Markforged's AI capabilities [3]. AI Opportunity (1/1): NNDM ships AI-powered features inside its Markforged platform with Markforged contributing $54.3M to consolidated revenue [1], qualifying for the tiebreaker point. Net: AI is more a tool than a threat for NNDM; the existential risks are commercial execution and capital allocation, not AI substitution.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Nano Dimension Q4 2025 Earnings Release, March 31, 2026 (GlobeNewswire)</w:t>
      </w:r>
    </w:p>
    <w:p>
      <w:pPr>
        <w:spacing w:before="20" w:after="20"/>
        <w:ind w:left="170"/>
      </w:pPr>
      <w:r>
        <w:rPr>
          <w:rFonts w:ascii="Calibri" w:hAnsi="Calibri"/>
          <w:b/>
          <w:color w:val="4A6B25"/>
          <w:sz w:val="15"/>
        </w:rPr>
        <w:t xml:space="preserve">2. </w:t>
      </w:r>
      <w:r>
        <w:rPr>
          <w:rFonts w:ascii="Calibri" w:hAnsi="Calibri"/>
          <w:b w:val="0"/>
          <w:color w:val="3A4A28"/>
          <w:sz w:val="17"/>
        </w:rPr>
        <w:t>Nano Dimension Initiates Review of Strategic Alternatives, September 2025; 3DPrint.com — 'Activist investor Murchinson secures four board seats at Nano Dimension'</w:t>
      </w:r>
    </w:p>
    <w:p>
      <w:pPr>
        <w:spacing w:before="20" w:after="20"/>
        <w:ind w:left="170"/>
      </w:pPr>
      <w:r>
        <w:rPr>
          <w:rFonts w:ascii="Calibri" w:hAnsi="Calibri"/>
          <w:b/>
          <w:color w:val="4A6B25"/>
          <w:sz w:val="15"/>
        </w:rPr>
        <w:t xml:space="preserve">3. </w:t>
      </w:r>
      <w:r>
        <w:rPr>
          <w:rFonts w:ascii="Calibri" w:hAnsi="Calibri"/>
          <w:b w:val="0"/>
          <w:color w:val="3A4A28"/>
          <w:sz w:val="17"/>
        </w:rPr>
        <w:t>Nano-di.com — corporate site, mission and ESG positioning,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