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NNN</w:t>
      </w:r>
      <w:r>
        <w:rPr>
          <w:rFonts w:ascii="Calibri" w:hAnsi="Calibri"/>
          <w:b/>
          <w:color w:val="1A2010"/>
          <w:sz w:val="40"/>
        </w:rPr>
        <w:t xml:space="preserve">  NNN REIT, Inc.</w:t>
      </w:r>
    </w:p>
    <w:p>
      <w:pPr>
        <w:spacing w:after="120"/>
      </w:pPr>
      <w:r>
        <w:rPr>
          <w:rFonts w:ascii="Calibri" w:hAnsi="Calibri"/>
          <w:b/>
          <w:color w:val="6E8450"/>
          <w:sz w:val="18"/>
        </w:rPr>
        <w:t>DIVIDEND SLEEVE · 2026-04-26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NNN REIT invests in high-quality single-tenant retail properties subject to long-term net leases. As of December 2025, the company owned 3,692 properties across all 50 states, the District of Columbia, and Puerto Rico, with a gross leasable area of approximately 36 million square feet and 99%+ occupancy.</w:t>
      </w:r>
    </w:p>
    <w:p>
      <w:r>
        <w:rPr>
          <w:rFonts w:ascii="Calibri" w:hAnsi="Calibri"/>
          <w:b/>
          <w:color w:val="6E8450"/>
          <w:sz w:val="18"/>
        </w:rPr>
        <w:t>85 Employees · https://www.nnnreit.com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NNN deployed a record $900M+ in acquisitions during 2025, its highest annual volume ever, expanding to 3,692 properties — a solid incremental extension of its existing net-lease model but not a transformative pivot [1]. AI Deployment (0/2): No evidence of AI-powered products or quantified AI-driven operational savings; the company's 85-employee lean structure limits AI deployment scope [2]. Market Share (1/2): NNN is a meaningful player in the net-lease REIT space alongside Realty Income (O) and STORE Capital, with a consistent track record of 7.4% initial cap rate acquisitions and 99%+ occupancy, but is not the category leader [1]. Pipeline (1/2): 2026 guidance assumes $600M in acquisitions funded by $210M retained FCF, ~$130M dispositions, and leverage-neutral borrowing, providing clear near-term visibility [1]. R&amp;D Intensity (1/1): Net-lease REITs do not have traditional R&amp;D, but NNN invests in underwriting and tenant relationship management relative to its lean operation, placing it at or above peer norms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NNN's stated purpose centers on disciplined net-lease investing and reliable income generation for shareholders — clear but not distinctive, essentially describing what any net-lease REIT does without articulating a larger vision for the future [3]. Community Impact (1/2): The company released its inaugural Corporate Responsibility &amp; Sustainability Report in 2022, earned Green Lease Leader silver recognition, and prohibits forced labor across its supply chain, though specific dollar amounts for charitable programs are not disclosed [4]. Employee Retention (1/2): With only 85 employees, NNN operates as a lean, specialized team; Glassdoor shows 100% CEO approval and culture &amp; values rated 3.9/5, suggesting above-average retention for the sector, though specific turnover data is unavailable [2]. Insider Buying (1/2): CEO Stephen Horn Jr. and leadership have equity exposure through the company's compensation structure, though no evidence of significant net insider buying in the last 12 months was found in the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NNN's financial profile reflects a stable, income-oriented REIT with strong durability. Revenue of $926M in 2025 (9.1% YoY growth) with a 42.1% profit margin demonstrates solid operational efficiency for a net-lease REIT [1][5]. D/E of 109.3% is moderate for a REIT, and forward P/E of 20.7x is reasonable for a low-growth, high-yield name. ROE of 8.9% is low but typical for equity REITs with significant property depreciation. The payout ratio of 114% (GAAP basis) reflects REIT structural requirements to distribute 90%+ of taxable income — AFFO payout is more conservative at ~68%. Dividend yield of 5.47% with 36 consecutive years of payments and 8 consecutive years of growth provides strong income reliability, though the 2.7% 5yr dividend CAGR trails inflation [1][5]. Liquidity floor easily cleared: 1.5M avg daily volume × $43.87 = $65.8M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NNN plays a fundamentally long-term game through its triple-net lease model — locking in 10+ year leases with annual escalators and maintaining 36 consecutive years of dividend payments. However, the company lacks a transformative Just Cause beyond reliable income generation, and its narrow focus on single-tenant retail limits existential flexibility.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NNN exists to provide reliable, growing income through disciplined net-lease investing. This is a clear operating philosophy but falls short of Sinek's definition of a Just Cause — it describes a business model rather than a vision of a better future. The purpose is shareholder-centric rather than service-oriented, though the consistency of execution over 36 years of dividends shows authentic commitment to this identity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NNN's 85-employee operation is remarkably lean for a $8.3B market cap company, suggesting a high-trust environment where individuals are empowered with significant responsibility. Glassdoor's 100% CEO approval and 3.9 culture rating support adequate trust [2]. The smooth CEO transition from Jay Whitehurst to Stephen Horn Jr. in 2022 demonstrated organizational stability.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NNN operates alongside Realty Income (O), Spirit Realty, and Essential Properties in the net-lease space, and management's competitive language focuses on disciplined underwriting and maintaining cap rate discipline rather than market share conquest. The company's consistent 7.4% acquisition yield and focus on tenant credit quality suggests a self-improvement orientation rather than a zero-sum competitive mindset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NNN has maintained the same single-tenant net-lease strategy for over three decades. While this consistency is admirable, the company has never made a transformative pivot or expanded into adjacent property types (industrial, data centers, healthcare). The narrow focus makes it rigid relative to peers like Realty Income, which has diversified into international markets and new property types.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NNN maintained its dividend through the COVID-19 pandemic despite tenant stress in retail — a principled decision that cost short-term capital. The company continued acquiring properties at attractive yields during the 2022-2023 interest rate shock when many peers pulled back, deploying a record $900M in 2025 [1]. This shows willingness to invest countercyclically.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NNN REIT offers a defensive, income-oriented investment with 36 consecutive years of dividend payments and a 5.47% yield backed by 3,692 single-tenant retail properties at 99%+ occupancy [1][5]. The company guided 2026 AFFO of $3.52-$3.58 per share (3.2% growth at midpoint) supported by $600M in planned acquisitions at 7.4% initial cap rates, funded through a disciplined mix of retained FCF, dispositions, and leverage-neutral borrowing [1]. Revenue grew 9.1% YoY to $926M in 2025, and the net-lease model with long-term leases and annual escalators provides inflation-linked, contractual cash flow growth with minimal capital expenditure requirements.</w:t>
      </w:r>
    </w:p>
    <w:p>
      <w:pPr>
        <w:spacing w:after="120"/>
      </w:pPr>
      <w:r>
        <w:rPr>
          <w:rFonts w:ascii="Calibri" w:hAnsi="Calibri"/>
          <w:b w:val="0"/>
          <w:color w:val="3A4A28"/>
          <w:sz w:val="20"/>
        </w:rPr>
        <w:t>The bear case centers on slow growth and interest rate sensitivity. At a 4.79x PEG ratio and 20.7x forward P/E, NNN trades at a premium to its low-single-digit FFO growth profile (3.2% guided AFFO growth). The 2.7% 5yr dividend CAGR trails inflation, eroding real income value over time. The GAAP payout ratio of 114% (though AFFO payout is ~68%) leaves limited margin for dividend acceleration. The single-tenant retail focus creates concentration risk as e-commerce continues to reshape the retail landscape, and the 85-person team provides operational efficiency but limited strategic depth. Rising interest rates compress REIT valuations and increase borrowing costs for acquisition-driven growth, while NNN's D/E of 109% limits balance sheet flexibility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acquisition pipeline with $600M planned 2026 deployments at 7.4% cap rates, potentially accelerating FFO growth if the transaction market remains favorable [1]</w:t>
      </w:r>
    </w:p>
    <w:p>
      <w:pPr>
        <w:spacing w:before="40" w:after="40"/>
        <w:ind w:left="283"/>
      </w:pPr>
      <w:r>
        <w:rPr>
          <w:rFonts w:ascii="Calibri" w:hAnsi="Calibri"/>
          <w:b/>
          <w:color w:val="4A6B25"/>
          <w:sz w:val="20"/>
        </w:rPr>
        <w:t xml:space="preserve">2. </w:t>
      </w:r>
      <w:r>
        <w:rPr>
          <w:rFonts w:ascii="Calibri" w:hAnsi="Calibri"/>
          <w:b w:val="0"/>
          <w:color w:val="3A4A28"/>
          <w:sz w:val="20"/>
        </w:rPr>
        <w:t>35 consecutive years of dividend increases positions NNN as a Dividend Aristocrat candidate, attracting institutional income-focused capital [1]</w:t>
      </w:r>
    </w:p>
    <w:p>
      <w:pPr>
        <w:spacing w:before="40" w:after="40"/>
        <w:ind w:left="283"/>
      </w:pPr>
      <w:r>
        <w:rPr>
          <w:rFonts w:ascii="Calibri" w:hAnsi="Calibri"/>
          <w:b/>
          <w:color w:val="4A6B25"/>
          <w:sz w:val="20"/>
        </w:rPr>
        <w:t xml:space="preserve">3. </w:t>
      </w:r>
      <w:r>
        <w:rPr>
          <w:rFonts w:ascii="Calibri" w:hAnsi="Calibri"/>
          <w:b w:val="0"/>
          <w:color w:val="3A4A28"/>
          <w:sz w:val="20"/>
        </w:rPr>
        <w:t>Net-lease model with built-in annual rent escalators provides organic revenue growth insulated from tenant operating performance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sensitivity — higher-for-longer rates compress REIT valuations and increase cost of acquisition financing, directly impacting the spread between borrowing costs and cap rates [5]</w:t>
      </w:r>
    </w:p>
    <w:p>
      <w:pPr>
        <w:spacing w:before="40" w:after="40"/>
        <w:ind w:left="283"/>
      </w:pPr>
      <w:r>
        <w:rPr>
          <w:rFonts w:ascii="Calibri" w:hAnsi="Calibri"/>
          <w:b/>
          <w:color w:val="4A6B25"/>
          <w:sz w:val="20"/>
        </w:rPr>
        <w:t xml:space="preserve">2. </w:t>
      </w:r>
      <w:r>
        <w:rPr>
          <w:rFonts w:ascii="Calibri" w:hAnsi="Calibri"/>
          <w:b w:val="0"/>
          <w:color w:val="3A4A28"/>
          <w:sz w:val="20"/>
        </w:rPr>
        <w:t>Single-tenant retail concentration — structural shift toward e-commerce threatens tenant categories, and any single large tenant default creates outsized vacancy risk in a net-lease portfolio [1]</w:t>
      </w:r>
    </w:p>
    <w:p>
      <w:pPr>
        <w:spacing w:before="40" w:after="40"/>
        <w:ind w:left="283"/>
      </w:pPr>
      <w:r>
        <w:rPr>
          <w:rFonts w:ascii="Calibri" w:hAnsi="Calibri"/>
          <w:b/>
          <w:color w:val="4A6B25"/>
          <w:sz w:val="20"/>
        </w:rPr>
        <w:t xml:space="preserve">3. </w:t>
      </w:r>
      <w:r>
        <w:rPr>
          <w:rFonts w:ascii="Calibri" w:hAnsi="Calibri"/>
          <w:b w:val="0"/>
          <w:color w:val="3A4A28"/>
          <w:sz w:val="20"/>
        </w:rPr>
        <w:t>Slow dividend growth (2.7% 5yr CAGR) below inflation erodes real yield value, and the GAAP payout ratio of 114% limits capacity for meaningful dividend acceleration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NNN's business model — owning physical retail properties leased to tenants on long-term triple-net leases — is structurally immune to AI disruption. AI cannot replace physical real estate, and tenants (convenience stores, auto service, restaurants) operate in categories resistant to e-commerce displacement [2][3]. The 99%+ occupancy rate and 10+ year weighted average lease term provide contractual cash flow insulation. Morgan Stanley's 2025 analysis of AI in real estate identifies net-lease REITs as among the least exposed to AI disruption risk, with AI potentially enhancing underwriting and property management efficiency rather than threatening the model [2]. AI Opportunity (0/1): NNN does not generate revenue from AI products or services; AI is purely a potential internal efficiency tool for its lean 85-person operation.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NNN REIT Q4 2025 Earnings Release and FY2026 Guidance — core FFO $3.41, AFFO $3.44, 2026 AFFO guidance $3.52-$3.58,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 NNN REIT (National Retail Properties) Reviews, 100% CEO approval, culture 3.9/5,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NNN REIT Corporate Website — nnnreit.com, mission and company information,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NNN REIT Inaugural Corporate Responsibility &amp; Sustainability Report, Green Lease Leader silver recognition, 2022</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NNN (NNN REIT),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