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NOC</w:t>
      </w:r>
      <w:r>
        <w:rPr>
          <w:rFonts w:ascii="Calibri" w:hAnsi="Calibri"/>
          <w:b/>
          <w:color w:val="1A2010"/>
          <w:sz w:val="40"/>
        </w:rPr>
        <w:t xml:space="preserve">  Northrop Grumman Corporation</w:t>
      </w:r>
    </w:p>
    <w:p>
      <w:pPr>
        <w:spacing w:after="120"/>
      </w:pPr>
      <w:r>
        <w:rPr>
          <w:rFonts w:ascii="Calibri" w:hAnsi="Calibri"/>
          <w:b/>
          <w:color w:val="6E8450"/>
          <w:sz w:val="18"/>
        </w:rPr>
        <w:t>GROWTH SLEEVE · 2026-05-06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Northrop Grumman Corporation is a leading aerospace and defense technology company operating through four segments: Aeronautics Systems, Defense Systems, Mission Systems, and Space Systems. The company provides aircraft systems, strategic deterrent systems, tactical weapons, C4ISR systems, and space vehicles. Founded in 1939 and headquartered in Falls Church, Virginia.</w:t>
      </w:r>
    </w:p>
    <w:p>
      <w:r>
        <w:rPr>
          <w:rFonts w:ascii="Calibri" w:hAnsi="Calibri"/>
          <w:b/>
          <w:color w:val="6E8450"/>
          <w:sz w:val="18"/>
        </w:rPr>
        <w:t>95,000 Employees · https://www.northropgrumman.com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Northrop Grumman is the prime contractor for the B-21 Raider, the most advanced strategic bomber ever built, with expanded production capacity and increased production rate secured through a new USAF agreement [1]. The company's partnership with NVIDIA AI Factory for Government positions it at the forefront of AI-enabled defense systems, including autonomous platforms and advanced C4ISR capabilities [3]. Aeronautics Systems revenue grew 17% to $3.3B in Q1 2026, and Mission Systems margins improved to 15.1%, reflecting sustained R&amp;D execution across next-generation platforms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Kathy Warden (since January 2019) has built a strong reputation for talent-centric leadership, publicly stating that 'talent is Northrop Grumman's highest priority' and integrating people strategy as core to business strategy [3]. Glassdoor ratings of 3.9/5 across 13,168 reviews indicate generally positive employee experience, with the company logging 140,000 volunteer hours valued at $4.6M in 2024 and 99%+ ethics training completion [3][4]. However, some reviews note political culture and gatekeeping dynamics, and a shareholder proposal on human rights impact assessment of government product use was rejected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NOC trades at a reasonable 18.5× forward P/E with strong ROE of 28.5% and a $3.1-3.5B free cash flow guidance for 2026 [1][2]. Debt-to-equity of 102.7% is elevated but manageable for a defense prime, and profit margin of 10.8% is typical for the sector [2]. Revenue growth of 4.4% YoY and ~4.4% 5-year CAGR reflects the steady but moderate growth profile of defense prime contractors. The PEG ratio of 4.21 indicates the stock is richly valued relative to growth, with the -0.11 beta providing exceptional portfolio hedging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Northrop Grumman demonstrates strong infinite game characteristics through multi-decade program commitments like the B-21 Raider, sustained talent investment, and strategic technology leadership, though the defense contracting model inherently ties success to government budget cycles and geopolitical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National security and technological deterrence represent a compelling just cause — Northrop Grumman's mission to 'define possible' in aerospace and defense transcends quarterly financial metrics and serves a generational purpose [3]. The company's commitment to net-zero emissions by 2035 adds environmental dimension to its mission. However, the defense industry's inherent connection to military applications creates ethical complexity. (2 of 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3.9/5 across 13,168 reviews indicates above-average employee trust, supported by CEO Warden's talent-first leadership philosophy and 99%+ ethics training completion [3][4]. The 140,000 volunteer hours and $1.7M employee giving demonstrate community engagement. Some reviews cite political culture and gatekeeping, but the overall signal is positive for a 95,000-person organization. (1 of 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NOC competes against Lockheed Martin, Raytheon, and Boeing in defense prime contracting and uses this rivalry to drive innovation — the B-21 win over competitors validated NOC's stealth technology leadership, and NVIDIA AI partnership positions it against peers in next-gen defense AI [1][3]. (1 of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acquisition of Orbital ATK (2018) expanded space capabilities, and the company's pivot toward AI-enabled autonomous systems demonstrates willingness to evolve beyond traditional platforms [3]. However, NOC remains fundamentally a defense prime contractor with limited diversification beyond government markets. (1 of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Kathy Warden's leadership through the B-21 program — including absorbing a loss provision in 2025 to secure long-term production capacity expansion — demonstrates courage to invest for multi-decade returns over short-term earnings [1]. The company's transparency in ESG reporting and commitment to net-zero 2035 exceed peer norms. (1 of 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Northrop Grumman is a premier defense franchise anchored by the B-21 Raider strategic bomber, with Q1 2026 demonstrating 85% EPS growth, 17% Aeronautics revenue growth, and improving Mission Systems margins at 15.1% [1]. The reaffirmed 2026 guidance of $43.5-44.0B revenue and $3.1-3.5B free cash flow provides earnings visibility, while the NVIDIA AI Factory partnership positions NOC as a leader in defense AI adoption [3]. With a -0.11 beta and 20 consecutive years of dividend growth (8% CAGR), NOC offers rare portfolio hedging value alongside operational momentum from rising global defense budgets.</w:t>
      </w:r>
    </w:p>
    <w:p>
      <w:pPr>
        <w:spacing w:after="120"/>
      </w:pPr>
      <w:r>
        <w:rPr>
          <w:rFonts w:ascii="Calibri" w:hAnsi="Calibri"/>
          <w:b w:val="0"/>
          <w:color w:val="3A4A28"/>
          <w:sz w:val="20"/>
        </w:rPr>
        <w:t>The bear case centers on valuation and growth limitations: the PEG ratio of 4.21 suggests the stock is richly priced relative to its ~4-5% organic revenue growth trajectory typical of defense primes. Debt-to-equity of 102.7% is elevated, and profit margins of 10.8% face pressure from fixed-price contract structures like the B-21 [2]. Government budget sequestration risk, DOGE-driven defense spending uncertainty, and contract execution complexity on classified programs remain persistent threats. The shareholder rejection of a human rights impact assessment proposal highlights governance gaps in addressing the ethical dimensions of defense product use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B-21 Raider production ramp with expanded capacity agreement driving Aeronautics Systems growth beyond the 17% Q1 2026 rate [1]</w:t>
      </w:r>
    </w:p>
    <w:p>
      <w:pPr>
        <w:spacing w:before="40" w:after="40"/>
        <w:ind w:left="283"/>
      </w:pPr>
      <w:r>
        <w:rPr>
          <w:rFonts w:ascii="Calibri" w:hAnsi="Calibri"/>
          <w:b/>
          <w:color w:val="4A6B25"/>
          <w:sz w:val="20"/>
        </w:rPr>
        <w:t xml:space="preserve">2. </w:t>
      </w:r>
      <w:r>
        <w:rPr>
          <w:rFonts w:ascii="Calibri" w:hAnsi="Calibri"/>
          <w:b w:val="0"/>
          <w:color w:val="3A4A28"/>
          <w:sz w:val="20"/>
        </w:rPr>
        <w:t>Rising global defense budgets driven by geopolitical tensions creating sustained demand across all four business segments</w:t>
      </w:r>
    </w:p>
    <w:p>
      <w:pPr>
        <w:spacing w:before="40" w:after="40"/>
        <w:ind w:left="283"/>
      </w:pPr>
      <w:r>
        <w:rPr>
          <w:rFonts w:ascii="Calibri" w:hAnsi="Calibri"/>
          <w:b/>
          <w:color w:val="4A6B25"/>
          <w:sz w:val="20"/>
        </w:rPr>
        <w:t xml:space="preserve">3. </w:t>
      </w:r>
      <w:r>
        <w:rPr>
          <w:rFonts w:ascii="Calibri" w:hAnsi="Calibri"/>
          <w:b w:val="0"/>
          <w:color w:val="3A4A28"/>
          <w:sz w:val="20"/>
        </w:rPr>
        <w:t>NVIDIA AI Factory partnership accelerating AI-enabled defense systems revenue and competitive differentiation versus defense peers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ratio of 4.21 indicates rich valuation relative to moderate ~4-5% organic revenue growth, limiting upside in a risk-off environment [2]</w:t>
      </w:r>
    </w:p>
    <w:p>
      <w:pPr>
        <w:spacing w:before="40" w:after="40"/>
        <w:ind w:left="283"/>
      </w:pPr>
      <w:r>
        <w:rPr>
          <w:rFonts w:ascii="Calibri" w:hAnsi="Calibri"/>
          <w:b/>
          <w:color w:val="4A6B25"/>
          <w:sz w:val="20"/>
        </w:rPr>
        <w:t xml:space="preserve">2. </w:t>
      </w:r>
      <w:r>
        <w:rPr>
          <w:rFonts w:ascii="Calibri" w:hAnsi="Calibri"/>
          <w:b w:val="0"/>
          <w:color w:val="3A4A28"/>
          <w:sz w:val="20"/>
        </w:rPr>
        <w:t>Fixed-price contract exposure on programs like B-21 creates margin compression risk if cost overruns resurface as production scales [1]</w:t>
      </w:r>
    </w:p>
    <w:p>
      <w:pPr>
        <w:spacing w:before="40" w:after="40"/>
        <w:ind w:left="283"/>
      </w:pPr>
      <w:r>
        <w:rPr>
          <w:rFonts w:ascii="Calibri" w:hAnsi="Calibri"/>
          <w:b/>
          <w:color w:val="4A6B25"/>
          <w:sz w:val="20"/>
        </w:rPr>
        <w:t xml:space="preserve">3. </w:t>
      </w:r>
      <w:r>
        <w:rPr>
          <w:rFonts w:ascii="Calibri" w:hAnsi="Calibri"/>
          <w:b w:val="0"/>
          <w:color w:val="3A4A28"/>
          <w:sz w:val="20"/>
        </w:rPr>
        <w:t>Government budget sequestration, continuing resolution uncertainty, or DOGE-driven defense spending cuts could constrain the $43.5-44.0B revenue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Northrop Grumman is a primary beneficiary of AI adoption in defense, leveraging NVIDIA AI Factory for Government to develop AI-enabled autonomous systems, advanced sensors, and intelligent decision-support platforms [3]. The B-21 Raider incorporates AI-driven mission systems, and Mission Systems segment margins improved to 15.1% partly through AI-enhanced operational efficiency [1]. Defense AI spending is accelerating under current DoD priorities, and NOC's classified programs provide additional AI capability moats. AI displacement risk is negligible — defense procurement relationships, security clearances, and classified technical knowledge are unreplicable by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Northrop Grumman Q1 2026 Financial Results Press Release and Earnings Call,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NOC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Northrop Grumman corporate website, NVIDIA AI Factory partnership announcement, and Glassdoor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Northrop Grumman Sustainability Report 2024 and Sustainalytics ESG Rating,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