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NOK</w:t>
      </w:r>
      <w:r>
        <w:rPr>
          <w:rFonts w:ascii="Calibri" w:hAnsi="Calibri"/>
          <w:b/>
          <w:color w:val="1A2010"/>
          <w:sz w:val="40"/>
        </w:rPr>
        <w:t xml:space="preserve">  Nokia Corporation</w:t>
      </w:r>
    </w:p>
    <w:p>
      <w:pPr>
        <w:spacing w:after="120"/>
      </w:pPr>
      <w:r>
        <w:rPr>
          <w:rFonts w:ascii="Calibri" w:hAnsi="Calibri"/>
          <w:b/>
          <w:color w:val="6E8450"/>
          <w:sz w:val="18"/>
        </w:rPr>
        <w:t>DIVIDEND SLEEVE · 2026-03-23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NYSE · Finland</w:t>
      </w:r>
    </w:p>
    <w:p>
      <w:pPr>
        <w:spacing w:after="80"/>
      </w:pPr>
      <w:r>
        <w:rPr>
          <w:rFonts w:ascii="Calibri" w:hAnsi="Calibri"/>
          <w:b w:val="0"/>
          <w:color w:val="3A4A28"/>
          <w:sz w:val="20"/>
        </w:rPr>
        <w:t>Nokia provides mobile, fixed, and cloud network solutions globally through two segments: Network Infrastructure and Mobile Infrastructure. The company is pivoting from traditional telecom equipment to AI-driven data center networking and 6G research under new CEO Justin Hotard.</w:t>
      </w:r>
    </w:p>
    <w:p>
      <w:r>
        <w:rPr>
          <w:rFonts w:ascii="Calibri" w:hAnsi="Calibri"/>
          <w:b/>
          <w:color w:val="6E8450"/>
          <w:sz w:val="18"/>
        </w:rPr>
        <w:t>78,005 Employees · https://www.nokia.com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Nokia's pivot under new CEO Hotard positions Bell Labs' R&amp;D capabilities toward the 'AI supercycle,' with a 17% jump in optical equipment sales to AI/cloud customers in Q4 and a strategic NVIDIA partnership for AI-native networks [1]. The company became the first telecom vendor with SBTi-validated 2030 climate targets, and its Network Infrastructure segment targets 10-12% CAGR for optical/IP networks through 2028 [1]. However, the core 5G business faces pricing pressure and slower-than-expected rollout cycles.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Hotard's 'Team Nokia' culture emphasizing 'winning together' and his openness to learning from early-career AI-native employees shows genuine cultural renewal [2]. Nokia's workforce diversity is strong with 50% women on the Board and the company was the first telecom vendor to set SBTi-validated targets [2]. However, the axing of mobile chief Tommi Uitto and reorganization creates uncertainty for 78,000 employees.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Nokia trades at a 61x trailing P/E driven by depressed earnings (3.3% profit margin, 3.1% ROE), though the forward P/E of 18.4x is more reasonable [2]. D/E of 21% is conservatively low, and FCF of EUR 1.5 billion provides a solid foundation. The 2% dividend yield is modest but sustainable. Revenue grew 8.2% YoY in 2025 but comparable operating profit guidance of EUR 2.0-2.5 billion for 2026 has a wide range reflecting execution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Nokia shows moderate infinite game characteristics through its willingness to completely reorganize from four segments to two under a new CEO, invest in 6G research through Bell Labs, and target sustainability leadership [1][2]. However, the wide profit guidance range and restructuring suggest the infinite vision hasn't yet translated to execution certainty.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Hotard's framing of the AI supercycle as 'a structural transformation that advances human progress' elevates Nokia's purpose beyond selling equipment [2]. Nokia's sustainability leadership and commitment to digital sovereignty position it as a values-driven infrastructure provider.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'Team Nokia' culture emphasizing 'winning together' and openness to early-career employees' AI perspectives shows healthy leadership humility [2]. However, firing the mobile chief and restructuring from 4 to 2 segments creates organizational stress that tests team trust.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Nokia competes constructively with Ericsson and Huawei in mobile infrastructure and with Ciena and Infinera (now integrated) in optical networking, using competition to drive innovation rather than price wars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Nokia's pivot from mobile phones (2010s decline) to network infrastructure, and now to AI/data center networking, demonstrates exceptional multi-decade existential flexibility [2]. The Infinera acquisition and NVIDIA partnership show willingness to transform.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Bringing in an outsider CEO from Intel/HPE to lead the AI pivot shows bold governance, but the wide EUR 2.0-2.5 billion profit guidance suggests management is hedging rather than committing to ambitious targets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Nokia is in early innings of a strategic transformation under new CEO Hotard, pivoting Bell Labs' deep R&amp;D capabilities toward the AI data center networking boom — evidenced by 17% growth in AI/cloud optical sales and a strategic NVIDIA partnership [1]. The stock trades at 18.4x forward earnings with a conservatively low D/E of 21%, EUR 1.5 billion in FCF, and the Network Infrastructure segment targeting 10-12% revenue CAGR through 2028. The Infinera acquisition strengthens optical networking leadership at a time when AI data center buildouts are accelerating globally.</w:t>
      </w:r>
    </w:p>
    <w:p>
      <w:pPr>
        <w:spacing w:after="120"/>
      </w:pPr>
      <w:r>
        <w:rPr>
          <w:rFonts w:ascii="Calibri" w:hAnsi="Calibri"/>
          <w:b w:val="0"/>
          <w:color w:val="3A4A28"/>
          <w:sz w:val="20"/>
        </w:rPr>
        <w:t>The bear case includes a 61x trailing P/E reflecting currently depressed 3.3% margins, with earnings down 41% YoY and a 127% payout ratio that makes the 2% dividend unsustainable at current earnings [2]. The Mobile Infrastructure segment faces secular headwinds from telco spending restraint, and Nokia's track record of strategic pivots (phones to networks) took years to generate returns. The wide 2026 profit guidance range of EUR 2.0-2.5 billion suggests management itself is uncertain about execution, and Huawei's growing market share in emerging markets threatens the core 5G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optical networking revenue growth of 17%+ could accelerate as hyperscaler CapEx expands, driving the Network Infrastructure segment toward the 10-12% CAGR target</w:t>
      </w:r>
    </w:p>
    <w:p>
      <w:pPr>
        <w:spacing w:before="40" w:after="40"/>
        <w:ind w:left="283"/>
      </w:pPr>
      <w:r>
        <w:rPr>
          <w:rFonts w:ascii="Calibri" w:hAnsi="Calibri"/>
          <w:b/>
          <w:color w:val="4A6B25"/>
          <w:sz w:val="20"/>
        </w:rPr>
        <w:t xml:space="preserve">2. </w:t>
      </w:r>
      <w:r>
        <w:rPr>
          <w:rFonts w:ascii="Calibri" w:hAnsi="Calibri"/>
          <w:b w:val="0"/>
          <w:color w:val="3A4A28"/>
          <w:sz w:val="20"/>
        </w:rPr>
        <w:t>NVIDIA partnership for AI-native networks could yield commercial wins in 2026-2027 as operators deploy next-gen network architectures</w:t>
      </w:r>
    </w:p>
    <w:p>
      <w:pPr>
        <w:spacing w:before="40" w:after="40"/>
        <w:ind w:left="283"/>
      </w:pPr>
      <w:r>
        <w:rPr>
          <w:rFonts w:ascii="Calibri" w:hAnsi="Calibri"/>
          <w:b/>
          <w:color w:val="4A6B25"/>
          <w:sz w:val="20"/>
        </w:rPr>
        <w:t xml:space="preserve">3. </w:t>
      </w:r>
      <w:r>
        <w:rPr>
          <w:rFonts w:ascii="Calibri" w:hAnsi="Calibri"/>
          <w:b w:val="0"/>
          <w:color w:val="3A4A28"/>
          <w:sz w:val="20"/>
        </w:rPr>
        <w:t>New CEO Hotard's strategic clarity from the two-segment reorganization may improve operating leverage, narrowing the EUR 500M guidance range toward the high end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Mobile Infrastructure faces telco CapEx restraint globally, with 5G rollout cycles maturing and operators prioritizing cost control over network upgrades</w:t>
      </w:r>
    </w:p>
    <w:p>
      <w:pPr>
        <w:spacing w:before="40" w:after="40"/>
        <w:ind w:left="283"/>
      </w:pPr>
      <w:r>
        <w:rPr>
          <w:rFonts w:ascii="Calibri" w:hAnsi="Calibri"/>
          <w:b/>
          <w:color w:val="4A6B25"/>
          <w:sz w:val="20"/>
        </w:rPr>
        <w:t xml:space="preserve">2. </w:t>
      </w:r>
      <w:r>
        <w:rPr>
          <w:rFonts w:ascii="Calibri" w:hAnsi="Calibri"/>
          <w:b w:val="0"/>
          <w:color w:val="3A4A28"/>
          <w:sz w:val="20"/>
        </w:rPr>
        <w:t>Huawei's expanding market share in non-Western markets threatens Nokia's volume, particularly in Africa and Southeast Asia</w:t>
      </w:r>
    </w:p>
    <w:p>
      <w:pPr>
        <w:spacing w:before="40" w:after="40"/>
        <w:ind w:left="283"/>
      </w:pPr>
      <w:r>
        <w:rPr>
          <w:rFonts w:ascii="Calibri" w:hAnsi="Calibri"/>
          <w:b/>
          <w:color w:val="4A6B25"/>
          <w:sz w:val="20"/>
        </w:rPr>
        <w:t xml:space="preserve">3. </w:t>
      </w:r>
      <w:r>
        <w:rPr>
          <w:rFonts w:ascii="Calibri" w:hAnsi="Calibri"/>
          <w:b w:val="0"/>
          <w:color w:val="3A4A28"/>
          <w:sz w:val="20"/>
        </w:rPr>
        <w:t>The Infinera integration could distract management and compress margins in the near term, as Q4 operating margin already declined 90bps due to integration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significant enabler for Nokia — the NVIDIA partnership positions it for AI-native networking, and the reorganization explicitly targets the 'AI supercycle' with dedicated Technology and AI Organization led by a former Intel AI executive [2]. Nokia's optical networking equipment serves as critical infrastructure for AI data center buildouts, evidenced by 17% growth in AI/cloud optical sales [1]. AI disruption risk to Nokia's core business is low since networks are required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Nokia Q4 2025 and Full Year 2025 Financial Report, January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NOK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Nokia Capital Markets Day Strategy and 2025-2028 Targets, November 2025</w:t>
      </w:r>
    </w:p>
    <w:p>
      <w:pPr>
        <w:spacing w:before="20" w:after="20"/>
        <w:ind w:left="170"/>
      </w:pPr>
      <w:r>
        <w:rPr>
          <w:rFonts w:ascii="Calibri" w:hAnsi="Calibri"/>
          <w:b/>
          <w:color w:val="4A6B25"/>
          <w:sz w:val="15"/>
        </w:rPr>
        <w:t xml:space="preserve">4. </w:t>
      </w:r>
      <w:r>
        <w:rPr>
          <w:rFonts w:ascii="Calibri" w:hAnsi="Calibri"/>
          <w:b w:val="0"/>
          <w:color w:val="3A4A28"/>
          <w:sz w:val="17"/>
        </w:rPr>
        <w:t>RCR Wireless — Nokia holds steady as long-term AI infrastructure play, January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