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NOV</w:t>
      </w:r>
      <w:r>
        <w:rPr>
          <w:rFonts w:ascii="Calibri" w:hAnsi="Calibri"/>
          <w:b/>
          <w:color w:val="1A2010"/>
          <w:sz w:val="40"/>
        </w:rPr>
        <w:t xml:space="preserve">  NOV Inc.</w:t>
      </w:r>
    </w:p>
    <w:p>
      <w:pPr>
        <w:spacing w:after="120"/>
      </w:pPr>
      <w:r>
        <w:rPr>
          <w:rFonts w:ascii="Calibri" w:hAnsi="Calibri"/>
          <w:b/>
          <w:color w:val="6E8450"/>
          <w:sz w:val="18"/>
        </w:rPr>
        <w:t>GROWTH SLEEVE · 2026-04-01 · Inspire: 35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Equipment &amp; Services · NYSE · United States</w:t>
      </w:r>
    </w:p>
    <w:p>
      <w:pPr>
        <w:spacing w:after="80"/>
      </w:pPr>
      <w:r>
        <w:rPr>
          <w:rFonts w:ascii="Calibri" w:hAnsi="Calibri"/>
          <w:b w:val="0"/>
          <w:color w:val="3A4A28"/>
          <w:sz w:val="20"/>
        </w:rPr>
        <w:t>NOV Inc. designs, constructs, manufactures, and sells systems, components, and products for oil and gas drilling and production, and industrial and renewable energy sectors worldwide. Operating through Energy Equipment and Energy Products and Services segments, the company serves major integrated oil companies, national oil companies, and drilling contractors across 500+ locations on six continents. Founded in 1862, formerly National Oilwell Varco.</w:t>
      </w:r>
    </w:p>
    <w:p>
      <w:r>
        <w:rPr>
          <w:rFonts w:ascii="Calibri" w:hAnsi="Calibri"/>
          <w:b/>
          <w:color w:val="6E8450"/>
          <w:sz w:val="18"/>
        </w:rPr>
        <w:t>31,605 Employees · https://www.nov.com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NOV rebranded from National Oilwell Varco in 2021 and expanded into subsea flexible pipe manufacturing, but no transformative product launches or business model pivots in the last 5 years — the core business of drilling and production equipment remains largely unchanged [1]. AI Deployment (1/2): NOV rolled out ChatGPT Enterprise to 25,000+ employees and opened a Digital Technology Center in Kochi, India, but no specific AI-driven revenue or quantified cost savings have been reported [2]. Market Share (1/2): NOV is a meaningful player in oilfield equipment and services but faces stiff competition from Schlumberger, Halliburton, and Baker Hughes; not the category leader in any single segment [1]. Pipeline (1/2): The NOV Supernova Accelerator program targets digital transformation in upstream oil and gas, and the subsea flexible pipe capacity expansion shows forward investment, but product pipeline lacks specific next-gen launches with dates [2]. R&amp;D Intensity (1/1): NOV's CTO David Reid is a recognized pioneer in drilling automation, and R&amp;D spending on digital solutions and automation is at or above industry norms for oilfield services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NOV's stated purpose centers on 'pioneering innovations that improve the cost-effectiveness, efficiency, safety, and environmental impact of oil and gas operations' — clear and specific to the company's work but not transcendent or deeply inspiring beyond operational excellence [3]. Community Impact (1/2): NOV publishes sustainability reports and maintains environmental compliance programs across 500+ global locations, though no distinctive charitable foundation or community investment programs with specific dollar amounts were found [3]. Employee Retention (1/2): Glassdoor rating of 3.6/5 based on 3,215 reviews is average for the energy sector; employees cite good work-life balance and benefits, though compensation and internal technology lag are negatives; 68% CEO approval and 52% positive business outlook suggest adequate but not exceptional engagement [2]. Insider Buying (0/2): No evidence of meaningful net insider buying found; CEO transition from Clay Williams to Jose Bayardo on January 1, 2026 may create a neutral period for insider transactions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NOV's balance sheet is relatively clean with D/E of 37.0% and $1.55B cash against $2.34B debt, but profitability is weak with profit margin of just 1.66% and ROE of 2.37% [4]. Forward P/E of 14.8x is attractive, suggesting the market expects an earnings recovery under new CEO Jose Bayardo. Revenue declined 1.3% YoY to $8.74B, and Q4 FY25 reported a loss of -$78M [1]. Free cash flow of $754M and operating cash flow of $1.25B show cash generation capability despite thin margins. 5-year revenue CAGR of approximately 7% reflects post-pandemic recovery. Liquidity floor easily cleared at $94.3M daily traded value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NOV demonstrates mixed infinite game characteristics. The company's 160+ year history and smooth CEO succession show institutional durability, but the business remains tied to cyclical fossil fuel demand without a transformative vision for the future. The January 2026 leadership transition from Clay Williams to Jose Bayardo emphasized continuity of culture and innovation, suggesting an infinite mindset in leadership development but unclear strategic ambition beyond operational excellence.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NOV's purpose — improving the efficiency, safety, and environmental impact of oil and gas operations — is clear but not a Just Cause in Sinek's terms. It's an operational mission, not an aspirational vision of a future state that inspires sacrifice. The company exists to serve an existing industry rather than to advance a cause that transcends it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reviews (3.6/5, 3,215 reviews) show adequate trust — employees praise work-life balance, benefits, and internal hiring practices. However, criticism of senior leadership, siloed culture, and gender pay disparities indicate trust gaps. The smooth CEO succession and emphasis on 'deep bench of talent' suggests leadership continuity but not exceptional organizational trust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NOV competes with Schlumberger, Halliburton, and Baker Hughes and has responded to competitive pressure by investing in digital transformation (Supernova Accelerator, Digital Technology Center) and expanding into subsea flexible pipes rather than simply defending legacy product lines. The company's competitive language focuses on innovation and capability improvement rather than defeating rivals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NOV has incrementally evolved from a pure drilling equipment manufacturer to incorporate digital solutions, subsea systems, and renewable energy components. The 2021 rebrand from National Oilwell Varco signaled a desire to transcend its legacy identity. However, no transformative pivot — the company remains fundamentally an oilfield equipment maker after 160+ years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NOV's investment in digital transformation and ChatGPT Enterprise rollout during an uncertain energy market shows some willingness to invest in future capability. The expansion of subsea flexible pipe manufacturing capacity demonstrates long-term capital allocation. However, thin margins (1.66% profit margin) and a Q4 FY25 loss suggest the company is more reactive to market conditions than proactively shaping its future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NOV offers a deep value opportunity in oilfield services trading at 14.8x forward earnings with a clean balance sheet (D/E 37%) and strong free cash flow generation ($754M FCF on $8.74B revenue) [1][4]. The January 2026 CEO transition to Jose Bayardo — a company veteran who served as COO and CFO — provides leadership continuity while signaling strategic evolution. Morningstar identifies a renaissance in offshore activity as a potential catalyst that could meaningfully drive revenue higher, and NOV's subsea flexible pipe expansion positions it to capture this trend [1]. The company's proactive AI adoption (ChatGPT Enterprise for 25,000 employees, Digital Technology Center in India) suggests management is investing in future capability despite cyclical headwinds [2].</w:t>
      </w:r>
    </w:p>
    <w:p>
      <w:pPr>
        <w:spacing w:after="120"/>
      </w:pPr>
      <w:r>
        <w:rPr>
          <w:rFonts w:ascii="Calibri" w:hAnsi="Calibri"/>
          <w:b w:val="0"/>
          <w:color w:val="3A4A28"/>
          <w:sz w:val="20"/>
        </w:rPr>
        <w:t>The bear case centers on NOV's exposure to cyclical oil and gas capital expenditure with structurally thin margins. Profit margin of just 1.66% and ROE of 2.37% indicate the business struggles to convert revenue into shareholder returns even in a relatively stable macro environment [4]. Q4 FY25 reported a $78M loss, and revenue declined 1.3% YoY, raising questions about demand sustainability [1]. The payout ratio of 130.77% on a 1.67% yield suggests the dividend is not well-covered by current earnings. Bear-case analysts warn that rig equipment demand may never return to prior U.S. shale revolution levels, permanently reducing NOV's addressable market [1]. Goldman Sachs maintained a Sell rating on NOV in March 2026, and the analyst consensus average target of $19.90 offers only modest upside from $18.81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Offshore drilling activity renaissance — NOV's subsea flexible pipe capacity expansion positions it to capture growing deepwater spend as onshore U.S. shale matures [1]</w:t>
      </w:r>
    </w:p>
    <w:p>
      <w:pPr>
        <w:spacing w:before="40" w:after="40"/>
        <w:ind w:left="283"/>
      </w:pPr>
      <w:r>
        <w:rPr>
          <w:rFonts w:ascii="Calibri" w:hAnsi="Calibri"/>
          <w:b/>
          <w:color w:val="4A6B25"/>
          <w:sz w:val="20"/>
        </w:rPr>
        <w:t xml:space="preserve">2. </w:t>
      </w:r>
      <w:r>
        <w:rPr>
          <w:rFonts w:ascii="Calibri" w:hAnsi="Calibri"/>
          <w:b w:val="0"/>
          <w:color w:val="3A4A28"/>
          <w:sz w:val="20"/>
        </w:rPr>
        <w:t>New CEO Jose Bayardo may pursue margin improvement and portfolio rationalization as a company veteran with CFO/COO experience [2]</w:t>
      </w:r>
    </w:p>
    <w:p>
      <w:pPr>
        <w:spacing w:before="40" w:after="40"/>
        <w:ind w:left="283"/>
      </w:pPr>
      <w:r>
        <w:rPr>
          <w:rFonts w:ascii="Calibri" w:hAnsi="Calibri"/>
          <w:b/>
          <w:color w:val="4A6B25"/>
          <w:sz w:val="20"/>
        </w:rPr>
        <w:t xml:space="preserve">3. </w:t>
      </w:r>
      <w:r>
        <w:rPr>
          <w:rFonts w:ascii="Calibri" w:hAnsi="Calibri"/>
          <w:b w:val="0"/>
          <w:color w:val="3A4A28"/>
          <w:sz w:val="20"/>
        </w:rPr>
        <w:t>Digital transformation investments (ChatGPT Enterprise, Supernova Accelerator, India DTC) could drive operational efficiency gains and new revenue from AI-enhanced drilling automation products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Secular decline in onshore drilling rig demand — U.S. shale revolution may have permanently peaked, reducing NOV's core addressable market for land rig equipment [1]</w:t>
      </w:r>
    </w:p>
    <w:p>
      <w:pPr>
        <w:spacing w:before="40" w:after="40"/>
        <w:ind w:left="283"/>
      </w:pPr>
      <w:r>
        <w:rPr>
          <w:rFonts w:ascii="Calibri" w:hAnsi="Calibri"/>
          <w:b/>
          <w:color w:val="4A6B25"/>
          <w:sz w:val="20"/>
        </w:rPr>
        <w:t xml:space="preserve">2. </w:t>
      </w:r>
      <w:r>
        <w:rPr>
          <w:rFonts w:ascii="Calibri" w:hAnsi="Calibri"/>
          <w:b w:val="0"/>
          <w:color w:val="3A4A28"/>
          <w:sz w:val="20"/>
        </w:rPr>
        <w:t>Structurally thin margins (1.66% profit margin, 2.37% ROE) leave little buffer against revenue declines, as evidenced by Q4 FY25's $78M loss [4]</w:t>
      </w:r>
    </w:p>
    <w:p>
      <w:pPr>
        <w:spacing w:before="40" w:after="40"/>
        <w:ind w:left="283"/>
      </w:pPr>
      <w:r>
        <w:rPr>
          <w:rFonts w:ascii="Calibri" w:hAnsi="Calibri"/>
          <w:b/>
          <w:color w:val="4A6B25"/>
          <w:sz w:val="20"/>
        </w:rPr>
        <w:t xml:space="preserve">3. </w:t>
      </w:r>
      <w:r>
        <w:rPr>
          <w:rFonts w:ascii="Calibri" w:hAnsi="Calibri"/>
          <w:b w:val="0"/>
          <w:color w:val="3A4A28"/>
          <w:sz w:val="20"/>
        </w:rPr>
        <w:t>Energy transition headwinds — long-term shift toward renewables may reduce oil and gas capital expenditure, compressing demand for NOV's equipment across both segments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NOV's core business is designing and manufacturing physical drilling equipment, subsea pipe systems, pumps, and rig components — products that require deep engineering expertise, metallurgical knowledge, and physical-world manufacturing that AI cannot replicate or substitute [1]. The company operates 500+ manufacturing and service locations worldwide. While AI may optimize some engineering design processes, the physical nature of oilfield equipment makes NOV structurally immune to AI displacement. Demand for NOV's equipment is driven by oil and gas capital expenditure cycles, not by knowledge work that AI threatens [1]. AI Opportunity (1/1): NOV has deployed ChatGPT Enterprise to 25,000+ employees, opened a Digital Technology Center in India, and offers digital solutions including predictive analytics and drilling automation — generating revenue from AI-enhanced products and services sold to energy customers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NOV Inc. Q4 FY2025 Earnings Release — $2.28B revenue, -$78M earnings; full year $8.74B revenue, January 2026</w:t>
      </w:r>
    </w:p>
    <w:p>
      <w:pPr>
        <w:spacing w:before="20" w:after="20"/>
        <w:ind w:left="170"/>
      </w:pPr>
      <w:r>
        <w:rPr>
          <w:rFonts w:ascii="Calibri" w:hAnsi="Calibri"/>
          <w:b/>
          <w:color w:val="4A6B25"/>
          <w:sz w:val="15"/>
        </w:rPr>
        <w:t xml:space="preserve">2. </w:t>
      </w:r>
      <w:r>
        <w:rPr>
          <w:rFonts w:ascii="Calibri" w:hAnsi="Calibri"/>
          <w:b w:val="0"/>
          <w:color w:val="3A4A28"/>
          <w:sz w:val="17"/>
        </w:rPr>
        <w:t>NOV Inc. press releases — ChatGPT Enterprise rollout, Supernova Accelerator, Digital Technology Center India, CEO succession announcement, 2025-2026</w:t>
      </w:r>
    </w:p>
    <w:p>
      <w:pPr>
        <w:spacing w:before="20" w:after="20"/>
        <w:ind w:left="170"/>
      </w:pPr>
      <w:r>
        <w:rPr>
          <w:rFonts w:ascii="Calibri" w:hAnsi="Calibri"/>
          <w:b/>
          <w:color w:val="4A6B25"/>
          <w:sz w:val="15"/>
        </w:rPr>
        <w:t xml:space="preserve">3. </w:t>
      </w:r>
      <w:r>
        <w:rPr>
          <w:rFonts w:ascii="Calibri" w:hAnsi="Calibri"/>
          <w:b w:val="0"/>
          <w:color w:val="3A4A28"/>
          <w:sz w:val="17"/>
        </w:rPr>
        <w:t>NOV Inc. 2024 Sustainability Report and corporate website — mission statement, ESG commitments, environmental services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NOV (NOV Inc.), retrieved April 1, 2026</w:t>
      </w:r>
    </w:p>
    <w:p>
      <w:pPr>
        <w:spacing w:before="20" w:after="20"/>
        <w:ind w:left="170"/>
      </w:pPr>
      <w:r>
        <w:rPr>
          <w:rFonts w:ascii="Calibri" w:hAnsi="Calibri"/>
          <w:b/>
          <w:color w:val="4A6B25"/>
          <w:sz w:val="15"/>
        </w:rPr>
        <w:t xml:space="preserve">5. </w:t>
      </w:r>
      <w:r>
        <w:rPr>
          <w:rFonts w:ascii="Calibri" w:hAnsi="Calibri"/>
          <w:b w:val="0"/>
          <w:color w:val="3A4A28"/>
          <w:sz w:val="17"/>
        </w:rPr>
        <w:t>Morningstar, Nasdaq, Goldman Sachs analyst coverage — NOV valuation, price targets, and industry outlook,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