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NPT</w:t>
      </w:r>
      <w:r>
        <w:rPr>
          <w:rFonts w:ascii="Calibri" w:hAnsi="Calibri"/>
          <w:b/>
          <w:color w:val="1A2010"/>
          <w:sz w:val="40"/>
        </w:rPr>
        <w:t xml:space="preserve">  Texxon Holding Limited</w:t>
      </w:r>
    </w:p>
    <w:p>
      <w:pPr>
        <w:spacing w:after="120"/>
      </w:pPr>
      <w:r>
        <w:rPr>
          <w:rFonts w:ascii="Calibri" w:hAnsi="Calibri"/>
          <w:b/>
          <w:color w:val="6E8450"/>
          <w:sz w:val="18"/>
        </w:rPr>
        <w:t>GROWTH SLEEVE · 2026-05-06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China</w:t>
      </w:r>
    </w:p>
    <w:p>
      <w:pPr>
        <w:spacing w:after="80"/>
      </w:pPr>
      <w:r>
        <w:rPr>
          <w:rFonts w:ascii="Calibri" w:hAnsi="Calibri"/>
          <w:b w:val="0"/>
          <w:color w:val="3A4A28"/>
          <w:sz w:val="20"/>
        </w:rPr>
        <w:t>Texxon Holding Limited operates in supply chain management and plastic manufacturing in China through two segments: supply chain trading (basic chemicals, black metals, cotton) and plastic manufacturing (polyolefin and chemical polymers). The Shanghai-based company was founded in 2011 and IPO'd on NASDAQ.</w:t>
      </w:r>
    </w:p>
    <w:p>
      <w:r>
        <w:rPr>
          <w:rFonts w:ascii="Calibri" w:hAnsi="Calibri"/>
          <w:b/>
          <w:color w:val="6E8450"/>
          <w:sz w:val="18"/>
        </w:rPr>
        <w:t>203 Employees · https://www.npt-cn.com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Texxon operates as a commodity chemical and materials distributor with minimal proprietary technology or differentiated products[1]. The company's supply chain trading segment — which accounts for the majority of revenue — involves intermediating basic chemicals, black metals, and cotton with no meaningful IP or innovation moat. The 600,000-ton polystyrene manufacturing plant entering production in early 2026 represents a shift toward integrated manufacturing, but polystyrene production is well-established commodity technology[1].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Texxon's leadership has virtually no public profile, with no Glassdoor reviews, no analyst coverage, and minimal investor relations presence beyond regulatory SEC filings[2]. The company employs just 203 people, making it a micro-cap with limited institutional following. No evidence of mission-driven culture, employee engagement programs, or insider buying patterns could be identified through public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Texxon shows a mixed financial profile with strong historical revenue growth (3-year CAGR of 17.7%) but deteriorating profitability — FY2025 posted a net loss of $933K on $797M revenue, yielding effectively zero profit margin[1][2]. Debt-to-equity of 163% is elevated for a distribution business, ROE turned negative at -4.4%, and there are no analyst estimates or forward P/E available, reflecting the stock's micro-cap obscurity. The $35M market cap and recent IPO status add significant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Texxon operates with a finite game orientation characteristic of small commodity distributors — focused on near-term revenue growth through volume expansion rather than building durable competitive advantages or pursuing a transformative mission. The pivot to polystyrene manufacturing shows some strategic ambition but remains a commodity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discernible just cause beyond commodity chemical distribution and manufacturing. The company's mission is purely transactional — distributing basic chemicals, metals, and cotton in China — with no aspirational purpose that would outlast current leadership or market conditions[2].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203 employees, no public Glassdoor reviews, and no visible employee engagement or culture initiatives, there is insufficient evidence to assess team trust or organizational health. The company's minimal public disclosure beyond SEC requirements suggests limited transparency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Texxon competes in fragmented Chinese chemical distribution against numerous local and regional players, but there is no evidence the company studies or learns from competitors in a way that drives self-improvement. The competitive landscape appears purely price-driven[2].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600,000-ton polystyrene manufacturing plant represents a meaningful strategic pivot from pure distribution to integrated manufacturing, demonstrating willingness to invest in business model evolution[1]. However, this remains within commodity chemicals and does not represent a fundamental reimagining of the business.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leadership decisions. The NASDAQ IPO was a notable move for a small Chinese chemical distributor, but the company's leadership maintains virtually no public presence and has not articulated a long-term strategic vision beyond the polystyrene plant expansion[2].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Texxon Holding is a micro-cap ($35M market cap) Chinese chemical supply chain company that has demonstrated strong historical revenue growth from $489M in FY2022 to $797M in FY2025, driven primarily by an 88.5% surge in plastic particle sales[1]. The upcoming 600,000-ton polystyrene manufacturing plant could transform the business model from low-margin distribution to higher-margin integrated manufacturing, potentially improving earnings quality if executed successfully[1].</w:t>
      </w:r>
    </w:p>
    <w:p>
      <w:pPr>
        <w:spacing w:after="120"/>
      </w:pPr>
      <w:r>
        <w:rPr>
          <w:rFonts w:ascii="Calibri" w:hAnsi="Calibri"/>
          <w:b w:val="0"/>
          <w:color w:val="3A4A28"/>
          <w:sz w:val="20"/>
        </w:rPr>
        <w:t>The bear case is substantial: Texxon posted a net loss in FY2025 despite nearly $800M in revenue, indicating razor-thin or negative margins typical of commodity distribution[2]. Debt-to-equity of 163% is concerning as the company finances its manufacturing expansion, with only $2.5M cash on hand. The stock trades at $1.58 with a $35M market cap, reflecting extreme micro-cap risk, zero analyst coverage, and significant China regulatory and governance risks. No forward earnings estimates exist, making valuation essentially impossible through traditional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Polystyrene manufacturing plant entering production in early 2026 could shift revenue mix toward higher-margin integrated manufacturing[1]</w:t>
      </w:r>
    </w:p>
    <w:p>
      <w:pPr>
        <w:spacing w:before="40" w:after="40"/>
        <w:ind w:left="283"/>
      </w:pPr>
      <w:r>
        <w:rPr>
          <w:rFonts w:ascii="Calibri" w:hAnsi="Calibri"/>
          <w:b/>
          <w:color w:val="4A6B25"/>
          <w:sz w:val="20"/>
        </w:rPr>
        <w:t xml:space="preserve">2. </w:t>
      </w:r>
      <w:r>
        <w:rPr>
          <w:rFonts w:ascii="Calibri" w:hAnsi="Calibri"/>
          <w:b w:val="0"/>
          <w:color w:val="3A4A28"/>
          <w:sz w:val="20"/>
        </w:rPr>
        <w:t>Plastic particle segment grew 88.5% in FY2025, suggesting strong demand positioning in Chinese industrial supply chains[1]</w:t>
      </w:r>
    </w:p>
    <w:p>
      <w:pPr>
        <w:spacing w:before="40" w:after="40"/>
        <w:ind w:left="283"/>
      </w:pPr>
      <w:r>
        <w:rPr>
          <w:rFonts w:ascii="Calibri" w:hAnsi="Calibri"/>
          <w:b/>
          <w:color w:val="4A6B25"/>
          <w:sz w:val="20"/>
        </w:rPr>
        <w:t xml:space="preserve">3. </w:t>
      </w:r>
      <w:r>
        <w:rPr>
          <w:rFonts w:ascii="Calibri" w:hAnsi="Calibri"/>
          <w:b w:val="0"/>
          <w:color w:val="3A4A28"/>
          <w:sz w:val="20"/>
        </w:rPr>
        <w:t>Potential margin expansion as company moves from pure distribution to manufacturing with digital supply chain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in FY2025 with effectively zero profit margin despite nearly $800M revenue signals fundamental profitability challenges[2]</w:t>
      </w:r>
    </w:p>
    <w:p>
      <w:pPr>
        <w:spacing w:before="40" w:after="40"/>
        <w:ind w:left="283"/>
      </w:pPr>
      <w:r>
        <w:rPr>
          <w:rFonts w:ascii="Calibri" w:hAnsi="Calibri"/>
          <w:b/>
          <w:color w:val="4A6B25"/>
          <w:sz w:val="20"/>
        </w:rPr>
        <w:t xml:space="preserve">2. </w:t>
      </w:r>
      <w:r>
        <w:rPr>
          <w:rFonts w:ascii="Calibri" w:hAnsi="Calibri"/>
          <w:b w:val="0"/>
          <w:color w:val="3A4A28"/>
          <w:sz w:val="20"/>
        </w:rPr>
        <w:t>Micro-cap ($35M) with 163% debt-to-equity and only $2.5M cash creates significant financial fragility during manufacturing buildout</w:t>
      </w:r>
    </w:p>
    <w:p>
      <w:pPr>
        <w:spacing w:before="40" w:after="40"/>
        <w:ind w:left="283"/>
      </w:pPr>
      <w:r>
        <w:rPr>
          <w:rFonts w:ascii="Calibri" w:hAnsi="Calibri"/>
          <w:b/>
          <w:color w:val="4A6B25"/>
          <w:sz w:val="20"/>
        </w:rPr>
        <w:t xml:space="preserve">3. </w:t>
      </w:r>
      <w:r>
        <w:rPr>
          <w:rFonts w:ascii="Calibri" w:hAnsi="Calibri"/>
          <w:b w:val="0"/>
          <w:color w:val="3A4A28"/>
          <w:sz w:val="20"/>
        </w:rPr>
        <w:t>Zero analyst coverage, minimal institutional ownership, and limited public disclosure increase governance and information asymmetry risks typical of small Chinese NASDAQ listings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limited direct disruption risk to Texxon's commodity distribution business, but also offers minimal upside as the company lacks the scale or data advantages to meaningfully leverage AI for competitive advantage[2]. The company mentions using accumulated transaction data to analyze price trends and market demand, suggesting basic data analytics capability, but this is far from a proprietary AI moat. Commodity chemical distribution faces gradual disintermediation risk as manufacturers build direct digital sales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StocksToTrade — Texxon Holding's Stock Surges Amid Strategic Market Moves,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NPT key statistics and company profile,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SEC Filings — Texxon Holding Limited Annual Report (20-F),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