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NSA</w:t>
      </w:r>
      <w:r>
        <w:rPr>
          <w:rFonts w:ascii="Calibri" w:hAnsi="Calibri"/>
          <w:b/>
          <w:color w:val="1A2010"/>
          <w:sz w:val="40"/>
        </w:rPr>
        <w:t xml:space="preserve">  National Storage Affiliates Trust</w:t>
      </w:r>
    </w:p>
    <w:p>
      <w:pPr>
        <w:spacing w:after="120"/>
      </w:pPr>
      <w:r>
        <w:rPr>
          <w:rFonts w:ascii="Calibri" w:hAnsi="Calibri"/>
          <w:b/>
          <w:color w:val="6E8450"/>
          <w:sz w:val="18"/>
        </w:rPr>
        <w:t>DIVIDEND SLEEVE · 2026-04-17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National Storage Affiliates Trust is a self-storage REIT headquartered in Greenwood Village, Colorado, focused on the ownership, operation, and acquisition of self-storage properties in the United States. As of December 31, 2025, the company owned and operated 1,063 self-storage properties across 37 states and Puerto Rico with approximately 69.4 million rentable square feet, making it one of the largest self-storage owners and operators among public and private companies in the U.S.</w:t>
      </w:r>
    </w:p>
    <w:p>
      <w:r>
        <w:rPr>
          <w:rFonts w:ascii="Calibri" w:hAnsi="Calibri"/>
          <w:b/>
          <w:color w:val="6E8450"/>
          <w:sz w:val="18"/>
        </w:rPr>
        <w:t>1,458 Employees · https://www.nationalstorageaffiliates.com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NSA has grown through its unique PRO (Participating Regional Operator) acquisition model, reaching 1,063 properties by end of 2025, but same-store revenue declined in 2024-2025 (down 70bps in Q4 and 260bps in Q3) indicating the organic business is stagnating [1]. The proposed Public Storage acquisition in March 2026 would effectively end NSA as an independent company. AI Deployment (1/2): NSA migrated its entire portfolio to a unified enterprise cloud system for real-time data analytics and deployed algorithms for hourly rental rate adjustments based on competitor data and web traffic patterns [2]. Over 70% of new leases are signed digitally with smart-entry technology — measurable operational AI/tech deployment. Market Share (1/2): NSA is one of the largest self-storage owners in the U.S. with 69.4M rentable square feet, but remains significantly smaller than market leaders Public Storage and Extra Space Storage. The company holds a meaningful but not dominant share [1]. Pipeline (0/2): The proposed Public Storage acquisition effectively eliminates NSA's independent growth pipeline. No standalone expansion plans have been disclosed since the merger announcement [1]. R&amp;D Intensity (1/1): NSA's investment in digital leasing, smart-entry technology, and algorithmic pricing is above average for the self-storage REIT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NSA's mission centers on being the partner of choice for regional self-storage operators, providing capital and operational support — functional and clear but not aspirational or transformative [2]. The PRO model creates a distinctive business approach but the underlying purpose is real estate investment. Community Impact (1/2): NSA has partnered with Feeding America to provide 1.5 million meals annually, and deployed 20 properties with solar installations with a goal of 100MW through a national solar partnership [3]. These are specific, measurable community and environmental commitments. Employee Retention (1/2): CEO David Cramer has 24+ years in self-storage and was elevated to the role in April 2023 after internal promotion. Executive Chair Tamara Fischer has been with NSA since its 2015 IPO, suggesting strong leadership retention [2]. Insider Buying (1/2): Leadership continuity and internal promotions signal alignment. However, the proposed Public Storage acquisition at a premium creates a unique situation where leadership is effectively selling the company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NSA's financial profile reflects a self-storage REIT with strong dividend consistency but deteriorating operating metrics. D/E of 127.0% is typical for leveraged REITs but elevated versus the 70% target [4]. ROE of 7.1% is below the 15% target, common for REITs where accounting earnings understate FFO-based returns [4]. Revenue declined 2.3% YoY ($770M to $753M) and the 3-year CAGR is -2.1%, though the REIT reports same-store revenue improving sequentially (Q4 decline narrowing to -70bps from -260bps in Q3) [1]. Forward P/E of 111.9x is distorted by REIT accounting (depreciation depresses earnings vs FFO) and scores zero mechanically [4]. Profit margin of 9.9% is similarly depressed by non-cash charges. The dividend profile is strong: 5.4% yield with 11 consecutive years of payments and 10 consecutive years of growth from $0.54/share in 2015 to $2.28 in 2025, producing an 11.1% 5-year dividend growth CAGR [4]. Payout ratio of 330% based on GAAP earnings (vs ~65% on FFO) scores zero mechanically. Liquidity at $81.4M daily turnover is comfortable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NSA has built a durable self-storage platform through its unique PRO partnership model, demonstrating some infinite-game thinking by creating a distinctive business structure that attracted regional operators into a collaborative national platform. However, the decision to sell to Public Storage suggests the company ultimately prioritized financial value realization over long-term independent mission pursuit.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NSA's PRO (Participating Regional Operator) model represents a genuine cause — creating a national platform where regional self-storage operators can retain operational autonomy while accessing institutional capital and scale [2]. This is specific, distinctive, and has been validated by growing from IPO in 2015 to 1,063 properties. However, the decision to sell to Public Storage undermines the permanence of this cause. Score: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 model inherently requires trust — regional operators retain management authority while NSA provides capital, creating a partnership-based organizational structure unlike traditional corporate REITs [2]. CEO David Cramer's 24+ years in self-storage and Executive Chair Tamara Fischer's tenure since the 2015 IPO demonstrate leadership stability. The smooth CEO transition from Fischer to Cramer in 2023 suggests a healthy organizational culture.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NSA explicitly positions itself differently from Public Storage and Extra Space Storage, acknowledging their scale advantages while emphasizing NSA's unique PRO partnership model as a competitive differentiator [2]. The company uses larger competitors' strengths (technology, brand, capital) as motivation to invest in its own digital capabilities (algorithmic pricing, cloud analytics). Score: 1 point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NSA has operated the same self-storage acquisition-and-operate model since its 2015 IPO without significant strategic evolution [1]. The PRO model itself was innovative at inception but has not been reinvented. The proposed sale to Public Storage is the ultimate acknowledgment that the company could not independently transform to compete at the next level. Score: 0 points (rigid).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NSA's investment in digital transformation (cloud migration, algorithmic pricing, smart-entry technology) during a period of declining same-store revenue shows willingness to invest when results are under pressure [2]. The Feeding America partnership (1.5M meals annually) and solar deployment program demonstrate values-based decisions. However, the decision to sell rather than invest for long-term independence is the opposite of courageous infinite-game leadership.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NSA offers a unique investment opportunity driven by the proposed Public Storage acquisition announced in March 2026 at approximately $10.5B, providing significant near-term value realization for shareholders [1]. Independently, NSA is a well-managed self-storage REIT with 1,063 properties across 37 states, a 5.4% dividend yield supported by 10 consecutive years of growth (11.1% 5-year CAGR from $0.54 to $2.28/share), and an Inspire score of 42 reflecting strong ESG alignment [3][4]. Q4 2025 showed improving fundamentals with same-store revenue decline narrowing to -70bps from -260bps in Q3, and year-over-year occupancy improving from -140bps to -70bps [1]. The digital transformation — algorithmic pricing, cloud analytics, 70%+ digital lease signing — positions NSA's portfolio for operational efficiency gains [2]. FY2026 guidance of $2.13-2.25 EPS with same-store revenue growth between -0.3% and +2.1% suggests a return to positive growth [1].</w:t>
      </w:r>
    </w:p>
    <w:p>
      <w:pPr>
        <w:spacing w:after="120"/>
      </w:pPr>
      <w:r>
        <w:rPr>
          <w:rFonts w:ascii="Calibri" w:hAnsi="Calibri"/>
          <w:b w:val="0"/>
          <w:color w:val="3A4A28"/>
          <w:sz w:val="20"/>
        </w:rPr>
        <w:t>The bear case focuses on the acquisition uncertainty, fundamental headwinds, and REIT valuation challenges. The Public Storage acquisition faces investigation by law firm Kahn Swick &amp; Foti over the adequacy of price and process, creating deal risk — if the merger fails, NSA's stock could decline significantly from the current $42.21 (near its 52-week high of $42.60) [3]. Without the acquisition premium, NSA's fundamentals are deteriorating: revenue declined 2.3% YoY, same-store revenue was negative through most of 2024-2025, and GAAP EPS of just $0.69 barely covers the $2.28 annual dividend [4]. Forward P/E of 111.9x and P/B of 5.4x are expensive even for a REIT, and the 330% GAAP payout ratio (while distorted by REIT accounting) signals that reported earnings do not cover distributions. D/E of 127% with $2.0B in debt against $19.5M cash creates leverage risk in a rising rate environment [4]. Self-storage supply additions in key markets could further pressure occupancy and rental rates if new construction outpaces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Public Storage acquisition closing at approximately $10.5B, providing near-term value realization and potential upside if terms are improved during the review process [1]</w:t>
      </w:r>
    </w:p>
    <w:p>
      <w:pPr>
        <w:spacing w:before="40" w:after="40"/>
        <w:ind w:left="283"/>
      </w:pPr>
      <w:r>
        <w:rPr>
          <w:rFonts w:ascii="Calibri" w:hAnsi="Calibri"/>
          <w:b/>
          <w:color w:val="4A6B25"/>
          <w:sz w:val="20"/>
        </w:rPr>
        <w:t xml:space="preserve">2. </w:t>
      </w:r>
      <w:r>
        <w:rPr>
          <w:rFonts w:ascii="Calibri" w:hAnsi="Calibri"/>
          <w:b w:val="0"/>
          <w:color w:val="3A4A28"/>
          <w:sz w:val="20"/>
        </w:rPr>
        <w:t>Same-store revenue inflection from negative to positive in 2026, with guidance of -0.3% to +2.1% growth following sequential improvement through 2025 [1]</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payoff — algorithmic pricing and 70%+ digital leasing driving operational efficiency improvements across the 1,063-property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Public Storage acquisition failure risk — law firm investigation into price and process adequacy could delay or derail the merger, potentially triggering a 20%+ stock decline from acquisition-premium levels [3]</w:t>
      </w:r>
    </w:p>
    <w:p>
      <w:pPr>
        <w:spacing w:before="40" w:after="40"/>
        <w:ind w:left="283"/>
      </w:pPr>
      <w:r>
        <w:rPr>
          <w:rFonts w:ascii="Calibri" w:hAnsi="Calibri"/>
          <w:b/>
          <w:color w:val="4A6B25"/>
          <w:sz w:val="20"/>
        </w:rPr>
        <w:t xml:space="preserve">2. </w:t>
      </w:r>
      <w:r>
        <w:rPr>
          <w:rFonts w:ascii="Calibri" w:hAnsi="Calibri"/>
          <w:b w:val="0"/>
          <w:color w:val="3A4A28"/>
          <w:sz w:val="20"/>
        </w:rPr>
        <w:t>Continued same-store revenue pressure from self-storage supply additions in key metropolitan markets, with negative occupancy trends only recently stabilizing [1]</w:t>
      </w:r>
    </w:p>
    <w:p>
      <w:pPr>
        <w:spacing w:before="40" w:after="40"/>
        <w:ind w:left="283"/>
      </w:pPr>
      <w:r>
        <w:rPr>
          <w:rFonts w:ascii="Calibri" w:hAnsi="Calibri"/>
          <w:b/>
          <w:color w:val="4A6B25"/>
          <w:sz w:val="20"/>
        </w:rPr>
        <w:t xml:space="preserve">3. </w:t>
      </w:r>
      <w:r>
        <w:rPr>
          <w:rFonts w:ascii="Calibri" w:hAnsi="Calibri"/>
          <w:b w:val="0"/>
          <w:color w:val="3A4A28"/>
          <w:sz w:val="20"/>
        </w:rPr>
        <w:t>Leverage vulnerability with $2.0B debt and 127% D/E in a sustained high-interest-rate environment, compressing the spread between cap rates and borrowing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one of the most AI-immune business models in real estate — customers need physical space to store physical belongings, and no amount of AI advancement can digitize furniture, vehicles, or household goods [1]. The business involves physical real estate assets, local market dynamics, and in-person customer interactions that AI structurally cannot replace. AI may actually increase demand as remote work and gig economy trends (partially AI-enabled) drive household moves and business storage needs. The REIT structure with 1,063 properties across 37 states provides geographic diversification against any localized disruption [1]. AI Opportunity (1/1): NSA actively deploys algorithmic pricing (hourly rate adjustments based on competitor data and web traffic), cloud-based real-time analytics, and smart-entry technology across its portfolio, generating measurable operational improvements from AI-adjacent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Markets Daily / Ticker Report / Simply Wall St — NSA Q4 2025 earnings beat, FY2026 guidance, and same-store revenue trends, February 2026</w:t>
      </w:r>
    </w:p>
    <w:p>
      <w:pPr>
        <w:spacing w:before="20" w:after="20"/>
        <w:ind w:left="170"/>
      </w:pPr>
      <w:r>
        <w:rPr>
          <w:rFonts w:ascii="Calibri" w:hAnsi="Calibri"/>
          <w:b/>
          <w:color w:val="4A6B25"/>
          <w:sz w:val="15"/>
        </w:rPr>
        <w:t xml:space="preserve">2. </w:t>
      </w:r>
      <w:r>
        <w:rPr>
          <w:rFonts w:ascii="Calibri" w:hAnsi="Calibri"/>
          <w:b w:val="0"/>
          <w:color w:val="3A4A28"/>
          <w:sz w:val="17"/>
        </w:rPr>
        <w:t>NSA Investor Relations / Indeed — Executive team profiles, digital transformation initiatives, and PRO model description, 2025-2026</w:t>
      </w:r>
    </w:p>
    <w:p>
      <w:pPr>
        <w:spacing w:before="20" w:after="20"/>
        <w:ind w:left="170"/>
      </w:pPr>
      <w:r>
        <w:rPr>
          <w:rFonts w:ascii="Calibri" w:hAnsi="Calibri"/>
          <w:b/>
          <w:color w:val="4A6B25"/>
          <w:sz w:val="15"/>
        </w:rPr>
        <w:t xml:space="preserve">3. </w:t>
      </w:r>
      <w:r>
        <w:rPr>
          <w:rFonts w:ascii="Calibri" w:hAnsi="Calibri"/>
          <w:b w:val="0"/>
          <w:color w:val="3A4A28"/>
          <w:sz w:val="17"/>
        </w:rPr>
        <w:t>ESG Today / Sustainalytics / BusinessWire — NSA Corporate Responsibility Report, Feeding America partnership, solar installations, and Kahn Swick investigation, 2024-2026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NSA (National Storage Affiliates Trust),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