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NSC</w:t>
      </w:r>
      <w:r>
        <w:rPr>
          <w:rFonts w:ascii="Calibri" w:hAnsi="Calibri"/>
          <w:b/>
          <w:color w:val="1A2010"/>
          <w:sz w:val="40"/>
        </w:rPr>
        <w:t xml:space="preserve">  Norfolk Southern Corporation</w:t>
      </w:r>
    </w:p>
    <w:p>
      <w:pPr>
        <w:spacing w:after="120"/>
      </w:pPr>
      <w:r>
        <w:rPr>
          <w:rFonts w:ascii="Calibri" w:hAnsi="Calibri"/>
          <w:b/>
          <w:color w:val="6E8450"/>
          <w:sz w:val="18"/>
        </w:rPr>
        <w:t>GROWTH SLEEVE · 2026-05-01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Railroads · NYSE · United States</w:t>
      </w:r>
    </w:p>
    <w:p>
      <w:pPr>
        <w:spacing w:after="80"/>
      </w:pPr>
      <w:r>
        <w:rPr>
          <w:rFonts w:ascii="Calibri" w:hAnsi="Calibri"/>
          <w:b w:val="0"/>
          <w:color w:val="3A4A28"/>
          <w:sz w:val="20"/>
        </w:rPr>
        <w:t>Norfolk Southern Corporation operates one of the largest Class I railroad networks in the eastern United States, transporting raw materials, intermediate products, and finished goods including agriculture, chemicals, metals, automotive, and intermodal freight. The company operates approximately 19,300 route miles across 22 states and the District of Columbia, serving major ports along the Atlantic and Gulf coasts.</w:t>
      </w:r>
    </w:p>
    <w:p>
      <w:r>
        <w:rPr>
          <w:rFonts w:ascii="Calibri" w:hAnsi="Calibri"/>
          <w:b/>
          <w:color w:val="6E8450"/>
          <w:sz w:val="18"/>
        </w:rPr>
        <w:t>19,300 Employees · https://www.norfolksouthern.com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Norfolk Southern has invested in incremental operational improvements and safety technology following the East Palestine derailment, but no transformative business model pivots or new revenue streams have been launched in the last 5 years [1]. AI Deployment (2/2): NSC has deployed AI-powered train inspection portals, machine vision technology for safety monitoring, and AI-powered dispatch tools that deliver measurable operational efficiency improvements across its network [3]. Market Share Leadership (1/2): NSC is one of seven Class I railroads in the U.S. and the second-largest eastern railroad after CSX, maintaining stable market share in key corridors but not gaining share meaningfully [1]. Product Pipeline (1/2): The company raised its 2026 cost-takeout target from $100M to $150M, with a cumulative three-year goal of ~$650M in efficiency improvements, providing specific near-term visibility [1]. R&amp;D Intensity (0/1): Railroad R&amp;D spending is modest relative to revenue; NSC's technology investments are significant for the sector but below average versus broader industrial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Norfolk Southern's purpose centers on 'moving the economy with safe, reliable, customer-focused service' — clear and identifies its role in the broader economy, but is functional rather than aspirational and does not articulate a vision of a better future state. Community &amp; Charitable Impact (0/2): The East Palestine derailment ($310M+ EPA settlement, ongoing DOJ litigation, court-appointed safety trustee) represents a significant community harm event that overshadows any charitable programs [4][5]. Employee Retention (1/2): NSC employs 19,300 workers with stable headcount, though the DOJ lawsuit alleged executive compensation incentivized cost-cutting over safety, including reductions in crew staffing and maintenance spending [5]. Insider Buying (1/2): No prominent recent insider buying data found, though new CEO Mark George's appointment and board refreshment following the activist campaign suggest evolving leadership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Norfolk Southern maintains solid profitability with 21.9% profit margins and 17.6% ROE despite the East Palestine overhang [6]. D/E of 111.6% is elevated but manageable for a capital-intensive railroad. Revenue has been essentially flat over the past three years at ~$12.2B, with Q1 2026 volumes declining 1% YoY as winter storms, higher fuel prices, and tariff-related intermodal uncertainty weighed on results [1]. Forward P/E of 23.4 is reasonable for a Class I railroad, though PEG of 4.71 reflects very low expected earnings growth. The $1.3B in free cash flow provides financial flexibility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Norfolk Southern currently operates with a predominantly finite mindset, as revealed by the East Palestine crisis. The DOJ lawsuit alleged the company systematically prioritized cost reduction and executive compensation metrics over safety, reducing spending on maintenance, inspections, and crews — the quintessential finite game trade of short-term profits for long-term resilience [5]. The subsequent board overhaul, CEO change, and court-appointed safety trustee represent forced corrections rather than self-directed infinite game behavior.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Norfolk Southern's stated purpose of safe, reliable freight service is functional and shallow — every railroad claims this. The East Palestine derailment and subsequent DOJ investigation revealed that the company's actual operating priorities were revenue maximization and cost reduction, with executive compensation tied 80% to financial metrics [5]. The purpose statement was contradicted by operational reality, making it a marketing exercise rather than a lived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DOJ lawsuit documented systemic reductions in crew staffing, maintenance spending, and train inspection investment to hit financial targets [5]. This describes a low-trust environment where front-line workers were deprived of resources needed for safety. The activist-driven board overhaul in 2024, CEO replacement, and court-appointed safety trustee indicate fundamental organizational dysfunction that required external intervention to correct.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Norfolk Southern's competitive language has historically focused on financial metrics — operating ratio improvement, cost per unit — rather than learning from rivals. The company's response to the East Palestine crisis was initially defensive rather than learning-oriented. CSX and Union Pacific have demonstrated stronger safety cultures that NSC could learn from, but there is limited evidence of this infinite-minded competitive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NSC has incrementally evolved its business mix by growing intermodal services (18% volume growth in recent quarters), expanding digital capabilities with AI-powered dispatch and inspection systems, and raising its cost-takeout target to $650M cumulative [1][3]. The hiring of Anil Bhatt as Chief Information and Digital Officer in 2024 represents a technology-forward strategic shift. However, the core business model — freight rail transportation — remains unchanged and untested by transformative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East Palestine crisis revealed the opposite of courageous leadership — executives optimized compensation-linked financial metrics at the expense of safety investment, the company initially minimized the severity of the incident, and meaningful reform came only through activist pressure, DOJ lawsuits, and court-imposed oversight [4][5]. The forced leadership transition and $310M+ settlement represent accountability, not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Norfolk Southern operates an irreplaceable eastern U.S. railroad network generating $12.2B in revenue, $1.3B in free cash flow, and 21.9% profit margins, with a new management team raising the cost-takeout target to $650M cumulative and deploying AI-powered technology for safety and efficiency gains [1][3]. The stock trades at a forward P/E of 23.4 with a 44-year dividend history, and the post-East Palestine board refresh and operational overhaul could unlock significant operating ratio improvement as derailment-related charges ($62M in Q1 2026) normalize.</w:t>
      </w:r>
    </w:p>
    <w:p>
      <w:pPr>
        <w:spacing w:after="120"/>
      </w:pPr>
      <w:r>
        <w:rPr>
          <w:rFonts w:ascii="Calibri" w:hAnsi="Calibri"/>
          <w:b w:val="0"/>
          <w:color w:val="3A4A28"/>
          <w:sz w:val="20"/>
        </w:rPr>
        <w:t>The bear case is substantial: revenue has been flat at ~$12.2B for three years with Q1 2026 volumes declining 1% amid tariff uncertainty and macro weakness [1]. The East Palestine liabilities continue — the $310M EPA settlement is only one component, with ongoing DOJ litigation and a court-appointed safety trustee creating regulatory overhang and mandated capital spending on safety upgrades [4][5]. The PEG of 4.71 reflects anemic earnings growth expectations, and the forced governance overhaul introduces execution risk as new leadership navigates cost-cutting while simultaneously increasing safety investment. D/E of 111.6% limits financial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Cost-takeout program raised to $150M for 2026 (cumulative $650M over three years), with operating ratio improvement toward Class I peer levels</w:t>
      </w:r>
    </w:p>
    <w:p>
      <w:pPr>
        <w:spacing w:before="40" w:after="40"/>
        <w:ind w:left="283"/>
      </w:pPr>
      <w:r>
        <w:rPr>
          <w:rFonts w:ascii="Calibri" w:hAnsi="Calibri"/>
          <w:b/>
          <w:color w:val="4A6B25"/>
          <w:sz w:val="20"/>
        </w:rPr>
        <w:t xml:space="preserve">2. </w:t>
      </w:r>
      <w:r>
        <w:rPr>
          <w:rFonts w:ascii="Calibri" w:hAnsi="Calibri"/>
          <w:b w:val="0"/>
          <w:color w:val="3A4A28"/>
          <w:sz w:val="20"/>
        </w:rPr>
        <w:t>AI-powered dispatch optimization and machine vision inspection technology reducing derailment risk and improving asset utilization across the network</w:t>
      </w:r>
    </w:p>
    <w:p>
      <w:pPr>
        <w:spacing w:before="40" w:after="40"/>
        <w:ind w:left="283"/>
      </w:pPr>
      <w:r>
        <w:rPr>
          <w:rFonts w:ascii="Calibri" w:hAnsi="Calibri"/>
          <w:b/>
          <w:color w:val="4A6B25"/>
          <w:sz w:val="20"/>
        </w:rPr>
        <w:t xml:space="preserve">3. </w:t>
      </w:r>
      <w:r>
        <w:rPr>
          <w:rFonts w:ascii="Calibri" w:hAnsi="Calibri"/>
          <w:b w:val="0"/>
          <w:color w:val="3A4A28"/>
          <w:sz w:val="20"/>
        </w:rPr>
        <w:t>Normalization of East Palestine-related charges — Q1 2026 included $62M in merger and derailment costs that should decline as settlement payments conclude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DOJ litigation and court-appointed safety trustee could mandate expensive infrastructure upgrades and operational changes beyond current estimates</w:t>
      </w:r>
    </w:p>
    <w:p>
      <w:pPr>
        <w:spacing w:before="40" w:after="40"/>
        <w:ind w:left="283"/>
      </w:pPr>
      <w:r>
        <w:rPr>
          <w:rFonts w:ascii="Calibri" w:hAnsi="Calibri"/>
          <w:b/>
          <w:color w:val="4A6B25"/>
          <w:sz w:val="20"/>
        </w:rPr>
        <w:t xml:space="preserve">2. </w:t>
      </w:r>
      <w:r>
        <w:rPr>
          <w:rFonts w:ascii="Calibri" w:hAnsi="Calibri"/>
          <w:b w:val="0"/>
          <w:color w:val="3A4A28"/>
          <w:sz w:val="20"/>
        </w:rPr>
        <w:t>Flat revenue trajectory and 1% volume decline in Q1 2026 suggest the eastern U.S. freight market may be structurally weaker than management's efficiency assumptions</w:t>
      </w:r>
    </w:p>
    <w:p>
      <w:pPr>
        <w:spacing w:before="40" w:after="40"/>
        <w:ind w:left="283"/>
      </w:pPr>
      <w:r>
        <w:rPr>
          <w:rFonts w:ascii="Calibri" w:hAnsi="Calibri"/>
          <w:b/>
          <w:color w:val="4A6B25"/>
          <w:sz w:val="20"/>
        </w:rPr>
        <w:t xml:space="preserve">3. </w:t>
      </w:r>
      <w:r>
        <w:rPr>
          <w:rFonts w:ascii="Calibri" w:hAnsi="Calibri"/>
          <w:b w:val="0"/>
          <w:color w:val="3A4A28"/>
          <w:sz w:val="20"/>
        </w:rPr>
        <w:t>Tariff-related intermodal uncertainty and potential trade war escalation could reduce cross-border and port-related freight volumes in NSC's key corridors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Railroad freight transportation is a physical infrastructure business that AI cannot substitute — moving millions of tons of goods by rail requires track networks, locomotives, rolling stock, and operating rights that have no digital replacement. NSC's 19,300 route miles and right-of-way assets are irreplaceable physical moats. AI may actually increase demand for rail freight as e-commerce and data center construction drive intermodal volumes. However, the company is not fully 'immune' because AI-powered logistics optimization could improve truck competitiveness in some lanes, and autonomous trucking represents a long-term modal shift risk [3]. AI Opportunity (1/1): NSC generates operational value from AI through deployed AI-powered train inspection portals, machine vision safety systems, and AI-based dispatch optimization, with CIO Anil Bhatt driving digital transformation initiatives that improve both safety and efficiency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Norfolk Southern Q1 2026 Earnings Release and Earnings Call Transcript, April 24, 2026</w:t>
      </w:r>
    </w:p>
    <w:p>
      <w:pPr>
        <w:spacing w:before="20" w:after="20"/>
        <w:ind w:left="170"/>
      </w:pPr>
      <w:r>
        <w:rPr>
          <w:rFonts w:ascii="Calibri" w:hAnsi="Calibri"/>
          <w:b/>
          <w:color w:val="4A6B25"/>
          <w:sz w:val="15"/>
        </w:rPr>
        <w:t xml:space="preserve">2. </w:t>
      </w:r>
      <w:r>
        <w:rPr>
          <w:rFonts w:ascii="Calibri" w:hAnsi="Calibri"/>
          <w:b w:val="0"/>
          <w:color w:val="3A4A28"/>
          <w:sz w:val="17"/>
        </w:rPr>
        <w:t>Freight Flow Advisor — 'Norfolk Southern Q1 2026: The Railroad Holding the Line,' April 2026</w:t>
      </w:r>
    </w:p>
    <w:p>
      <w:pPr>
        <w:spacing w:before="20" w:after="20"/>
        <w:ind w:left="170"/>
      </w:pPr>
      <w:r>
        <w:rPr>
          <w:rFonts w:ascii="Calibri" w:hAnsi="Calibri"/>
          <w:b/>
          <w:color w:val="4A6B25"/>
          <w:sz w:val="15"/>
        </w:rPr>
        <w:t xml:space="preserve">3. </w:t>
      </w:r>
      <w:r>
        <w:rPr>
          <w:rFonts w:ascii="Calibri" w:hAnsi="Calibri"/>
          <w:b w:val="0"/>
          <w:color w:val="3A4A28"/>
          <w:sz w:val="17"/>
        </w:rPr>
        <w:t>Norfolk Southern Innovation Page and Anil Bhatt appointment announcement, August 2024</w:t>
      </w:r>
    </w:p>
    <w:p>
      <w:pPr>
        <w:spacing w:before="20" w:after="20"/>
        <w:ind w:left="170"/>
      </w:pPr>
      <w:r>
        <w:rPr>
          <w:rFonts w:ascii="Calibri" w:hAnsi="Calibri"/>
          <w:b/>
          <w:color w:val="4A6B25"/>
          <w:sz w:val="15"/>
        </w:rPr>
        <w:t xml:space="preserve">4. </w:t>
      </w:r>
      <w:r>
        <w:rPr>
          <w:rFonts w:ascii="Calibri" w:hAnsi="Calibri"/>
          <w:b w:val="0"/>
          <w:color w:val="3A4A28"/>
          <w:sz w:val="17"/>
        </w:rPr>
        <w:t>EPA — 'United States Reaches Over $310 Million Settlement with Norfolk Southern,' May 2024</w:t>
      </w:r>
    </w:p>
    <w:p>
      <w:pPr>
        <w:spacing w:before="20" w:after="20"/>
        <w:ind w:left="170"/>
      </w:pPr>
      <w:r>
        <w:rPr>
          <w:rFonts w:ascii="Calibri" w:hAnsi="Calibri"/>
          <w:b/>
          <w:color w:val="4A6B25"/>
          <w:sz w:val="15"/>
        </w:rPr>
        <w:t xml:space="preserve">5. </w:t>
      </w:r>
      <w:r>
        <w:rPr>
          <w:rFonts w:ascii="Calibri" w:hAnsi="Calibri"/>
          <w:b w:val="0"/>
          <w:color w:val="3A4A28"/>
          <w:sz w:val="17"/>
        </w:rPr>
        <w:t>DOJ — 'Justice Department and EPA File Complaint Against Norfolk Southern,' March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NSC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