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371600" cy="7232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371600" cy="7232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40"/>
      </w:pPr>
      <w:r>
        <w:rPr>
          <w:rFonts w:ascii="Calibri" w:hAnsi="Calibri"/>
          <w:b/>
          <w:color w:val="4A6B25"/>
          <w:sz w:val="56"/>
        </w:rPr>
        <w:t>NTAP</w:t>
      </w:r>
      <w:r>
        <w:rPr>
          <w:rFonts w:ascii="Calibri" w:hAnsi="Calibri"/>
          <w:b/>
          <w:color w:val="1A2010"/>
          <w:sz w:val="40"/>
        </w:rPr>
        <w:t xml:space="preserve">  NetApp, Inc.</w:t>
      </w:r>
    </w:p>
    <w:p>
      <w:pPr>
        <w:spacing w:after="120"/>
      </w:pPr>
      <w:r>
        <w:rPr>
          <w:rFonts w:ascii="Calibri" w:hAnsi="Calibri"/>
          <w:b/>
          <w:color w:val="6E8450"/>
          <w:sz w:val="18"/>
        </w:rPr>
        <w:t>DIVIDEND SLEEVE · 2026-04-13 · Inspire: -49 · MIXED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1200" w:type="dxa"/>
      </w:tblPr>
      <w:tblGrid>
        <w:gridCol w:w="10800"/>
      </w:tblGrid>
      <w:tr>
        <w:tc>
          <w:tcPr>
            <w:tcW w:type="dxa" w:w="10800"/>
            <w:shd w:fill="FFF8E1" w:val="clea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D97706"/>
                <w:sz w:val="20"/>
              </w:rPr>
              <w:t>HOLD</w:t>
            </w:r>
          </w:p>
        </w:tc>
      </w:tr>
    </w:tbl>
    <w:p>
      <w:pPr>
        <w:spacing w:before="120" w:after="200"/>
      </w:pPr>
      <w:r>
        <w:rPr>
          <w:rFonts w:ascii="Calibri" w:hAnsi="Calibri"/>
          <w:b/>
          <w:color w:val="1A2010"/>
          <w:sz w:val="80"/>
        </w:rPr>
        <w:t>70</w:t>
      </w:r>
      <w:r>
        <w:rPr>
          <w:rFonts w:ascii="Calibri" w:hAnsi="Calibri"/>
          <w:b w:val="0"/>
          <w:color w:val="9DAF88"/>
          <w:sz w:val="28"/>
        </w:rPr>
        <w:t xml:space="preserve"> / </w:t>
      </w:r>
      <w:r>
        <w:rPr>
          <w:rFonts w:ascii="Calibri" w:hAnsi="Calibri"/>
          <w:b w:val="0"/>
          <w:color w:val="9DAF88"/>
          <w:sz w:val="24"/>
        </w:rPr>
        <w:t>100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COMPANY PROFILE</w:t>
            </w:r>
          </w:p>
        </w:tc>
      </w:tr>
    </w:tbl>
    <w:p>
      <w:r>
        <w:rPr>
          <w:rFonts w:ascii="Calibri" w:hAnsi="Calibri"/>
          <w:b/>
          <w:color w:val="6E8450"/>
          <w:sz w:val="18"/>
        </w:rPr>
        <w:t>Technology · Computer Hardware · NASDAQ · United States</w:t>
      </w:r>
    </w:p>
    <w:p>
      <w:pPr>
        <w:spacing w:after="80"/>
      </w:pPr>
      <w:r>
        <w:rPr>
          <w:rFonts w:ascii="Calibri" w:hAnsi="Calibri"/>
          <w:b w:val="0"/>
          <w:color w:val="3A4A28"/>
          <w:sz w:val="20"/>
        </w:rPr>
        <w:t>NetApp is a global leader in unified data storage and intelligent data infrastructure, providing on-premises and hybrid-cloud storage platforms via its ONTAP operating system, all-flash arrays, and Public Cloud services on AWS, Azure, and GCP. The company is positioning AFX (NVIDIA SuperPOD-certified storage) and AI Data Engine (AIDE) as the data backbone for enterprise AI [1][2].</w:t>
      </w:r>
    </w:p>
    <w:p>
      <w:r>
        <w:rPr>
          <w:rFonts w:ascii="Calibri" w:hAnsi="Calibri"/>
          <w:b/>
          <w:color w:val="6E8450"/>
          <w:sz w:val="18"/>
        </w:rPr>
        <w:t>12,000 Employees · https://www.netapp.com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EXCELLENCE EVALUATION — THINK LIKE AN OWNER (50%)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Innovation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16A34A"/>
          <w:sz w:val="16"/>
        </w:rPr>
        <w:t xml:space="preserve"> STRONG 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7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858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1654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Track Record (2/3): Q3 FY2026 revenue of $1.71B beat guidance with non-GAAP operating margin hitting record highs; All-Flash Array segment delivered record $1.0B quarterly revenue (+11% YoY) [1]. AI Deployment (2/2): ~200 AI infrastructure and data lake modernization deals in Q2 FY2026, up from ~125 in the prior quarter — strong sequential acceleration. AFX (NVIDIA SuperPOD-certified disaggregated storage) and AIDE embedded in ONTAP position NetApp as a primary enterprise AI data plane [1][2]. Market Share (1/2): Clear share leader in unified file/block storage and ONTAP installed base, but competes with Pure Storage, Dell, IBM, and hyperscaler-native storage. Pipeline (1/2): All-Flash Arrays + Public Cloud now 71% of revenue — evidence of successful product mix transition; further AI-attached growth ahead [1]. R&amp;D Intensity (1/1): Sustained engineering investment in AFX, ONTAP AI features, and cloud integrations [2].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Inspiration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B8860B"/>
          <w:sz w:val="16"/>
        </w:rPr>
        <w:t xml:space="preserve"> DEVELOPING 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Mission Floor (3/4): CEO George Kurian frames the mission as 'helping enterprises anchor meaning in a sea of data' — a credible, durable purpose that has guided NetApp through cloud and AI transitions [2]. Community Impact (1/2): Targets 50.8% absolute Scope 1+2 GHG reduction by FY2030 and 51.6% Scope 3 reduction per petabyte shipped; received EcoVadis GOLD rating (October 2025), placing in top 5% [3]. Employee Retention (1/2): Kurian has been CEO since June 2015 (10+ year tenure), having joined NetApp in 2011 — strong continuity. No major Glassdoor red flags surfaced [2]. Insider Buying (1/2): No notable cluster of insider purchases; consistent dividend and buyback program signals capital return discipline [1].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Infrastructure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B8860B"/>
          <w:sz w:val="16"/>
        </w:rPr>
        <w:t xml:space="preserve"> DEVELOPING 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Quality financial profile in transition. FY2026 revenue guided to $6.625-$6.875B (~3% growth at midpoint) with non-GAAP gross margin 71.7-72.7%, operating margin 29.5-30.5%, and EPS $7.75-$8.05 [1]. Q2 FY2026 non-GAAP operating margin reached 31.1% (vs. 28.6% prior year) on mix shift to All-Flash and Public Cloud (now 71% of revenue) [1]. Modest top-line growth (3%) is the main constraint — the AI tailwind is real but is offsetting decline in legacy hybrid storage rather than driving accelerated overall growth. Dividend yield is competitive with steady growth, supporting a Dividend sleeve classification. NTAP has strong free cash flow generation, healthy balance sheet, and ROE metrics; liquidity floor easily cleared as a NASDAQ large-cap.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FINITE VS INFINITE GAME — SINEK (25%)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Mindset: </w:t>
      </w:r>
      <w:r>
        <w:rPr>
          <w:rFonts w:ascii="Calibri" w:hAnsi="Calibri"/>
          <w:b/>
          <w:color w:val="B8860B"/>
          <w:sz w:val="22"/>
        </w:rPr>
        <w:t>MIXED</w:t>
      </w:r>
      <w:r>
        <w:rPr>
          <w:rFonts w:ascii="Calibri" w:hAnsi="Calibri"/>
          <w:b w:val="0"/>
          <w:color w:val="6E8450"/>
          <w:sz w:val="22"/>
        </w:rPr>
        <w:t xml:space="preserve">      Overall: </w:t>
      </w:r>
      <w:r>
        <w:rPr>
          <w:rFonts w:ascii="Calibri" w:hAnsi="Calibri"/>
          <w:b/>
          <w:color w:val="16A34A"/>
          <w:sz w:val="28"/>
        </w:rPr>
        <w:t>7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p>
      <w:pPr>
        <w:spacing w:after="120"/>
      </w:pPr>
      <w:r>
        <w:rPr>
          <w:rFonts w:ascii="Calibri" w:hAnsi="Calibri"/>
          <w:b w:val="0"/>
          <w:color w:val="3A4A28"/>
          <w:sz w:val="18"/>
        </w:rPr>
        <w:t>NetApp under George Kurian (CEO since 2015) demonstrates strong infinite-game thinking — he embraced cloud as opportunity rather than threat in the mid-2010s and is now repeating the playbook with AI. The 10+ year CEO tenure, consistent investment in ONTAP as a multi-decade platform, and ESG GOLD rating support a long-term mindset.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Just Cause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7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858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1654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Helping enterprises 'anchor meaning in a sea of data' is a clear, durable mission that has guided NetApp through multiple technology cycles [2].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Trusting Teams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7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858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1654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George Kurian's 10+ year CEO tenure (since June 2015) provides cultural stability; engineering teams have repeatedly delivered platform transitions (cloud, all-flash, AI) on schedule [2].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Worthy Rivals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Competes with Pure Storage, Dell, IBM, and increasingly hyperscaler-native storage; the partnership with NVIDIA on SuperPOD certification shows willingness to collaborate where rivals would compete [1][2].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Existential Flexibility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7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858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1654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Successfully transitioned from on-premises hybrid storage to a model where All-Flash + Public Cloud is now 71% of revenue, and is now pivoting to AI data infrastructure — each transition extending the ONTAP platform rather than replacing it [1].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Courage To Lead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7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858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1654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Kurian's stated leadership philosophy — embrace what is good for clients even if disruptive to NetApp's near-term business — is the courageous mindset Sinek describes [2].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INVESTMENT THESIS</w:t>
            </w:r>
          </w:p>
        </w:tc>
      </w:tr>
    </w:tbl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NetApp is successfully repositioning as enterprise AI data infrastructure. Q3 FY2026 revenue of $1.71B beat guidance with record non-GAAP operating margins, and the All-Flash Array segment delivered $1.0B in quarterly revenue (+11% YoY) [1]. The company closed ~200 AI infrastructure and data lake modernization deals in Q2 FY2026 (up from ~125 last quarter), demonstrating real AI traction. AFX (NVIDIA SuperPOD-certified) and AI Data Engine (AIDE) position ONTAP as the data backbone for enterprise AI workloads that need to live on-premises or in hybrid environments [1][2]. FY2026 guidance of $6.625-$6.875B revenue (3% growth), 29.5-30.5% non-GAAP operating margin, and $7.75-$8.05 EPS supports continued cash flow growth. CEO George Kurian's 10+ year tenure and 'embrace disruption' philosophy add execution credibility.</w:t>
      </w:r>
    </w:p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The bear case is modest top-line growth and competitive pressure. FY2026 revenue growth of just 3% reflects AI tailwind offsetting legacy hybrid storage decline rather than meaningful net acceleration [1]. Pure Storage, Dell, and hyperscaler-native storage solutions all compete for AI data infrastructure dollars, and NetApp must continually prove AFX wins versus alternatives. Capex demands for AI-grade infrastructure are rising, and customer ROI cycles for new AI deployments are still being established. ESG profile is strong (EcoVadis GOLD, top 5%) [3], but the Inspire Insight score of -49 (driven by LGBT activism attribution) places NetApp in the MISALIGNED category for faith-aligned screens despite a long list of positive attributions across data security, employee wellbeing, and environmental responsibility. HOLD: solid AI enabler with reasonable valuation but limited near-term growth acceleration.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CATALYSTS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AI infrastructure deal acceleration — ~200 AI/data lake deals in Q2 FY2026 up from ~125 in Q1; sustained sequential growth would support All-Flash run-rate expansion [1]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AFX NVIDIA SuperPOD design wins translating into enterprise on-prem AI data infrastructure share gains [1][2]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FY2026 EPS growth to $7.75-$8.05 (10%+ YoY) driven by record operating margins from mix shift to All-Flash and Public Cloud [1]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DC2626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RISKS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Modest 3% revenue growth limits multiple expansion and depends on continued AI mix shift offsetting legacy hybrid storage decline [1]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Competition from Pure Storage, Dell, and hyperscaler-native storage in the AI data infrastructure category could compress AFX win rates [2]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Customer AI ROI cycles are still being established; if enterprise AI deployments slow, the ~200-deal momentum could decelerate [1]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AI RESILIENCE (25%)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AI Resilience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16A34A"/>
          <w:sz w:val="16"/>
        </w:rPr>
        <w:t xml:space="preserve"> LOW RISK 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8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4409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1102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AI Risk Protection (7/9): NetApp is an AI enabler, not a target. Enterprise AI requires durable, governed, high-performance data infrastructure — NetApp's ONTAP, AFX, and AIDE provide exactly that for the on-premises and hybrid AI workloads that hyperscalers cannot natively serve. ~200 AI/data lake modernization deals in a single quarter (up from ~125) demonstrates real attach to AI workloads [1]. Kurian's leadership philosophy of 'embracing disruption rather than fearing it' has guided the company through the cloud transition and is now driving the AI pivot [2]. AI Opportunity (1/1): NVIDIA SuperPOD certification on AFX positions NetApp directly in the AI infrastructure stack with a $1B+ All-Flash quarterly run-rate growing 11% [1].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FAITH ALIGNMENT — INSPIRE INSIGHT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Inspire Impact Score:  </w:t>
      </w:r>
      <w:r>
        <w:rPr>
          <w:rFonts w:ascii="Calibri" w:hAnsi="Calibri"/>
          <w:b/>
          <w:color w:val="DC2626"/>
          <w:sz w:val="28"/>
        </w:rPr>
        <w:t>-49</w:t>
      </w:r>
      <w:r>
        <w:rPr>
          <w:rFonts w:ascii="Calibri" w:hAnsi="Calibri"/>
          <w:b/>
          <w:color w:val="B8860B"/>
          <w:sz w:val="20"/>
        </w:rPr>
        <w:t xml:space="preserve">    MISALIGNED</w:t>
      </w:r>
    </w:p>
    <w:p>
      <w:pPr>
        <w:spacing w:before="80" w:after="40"/>
      </w:pPr>
      <w:r>
        <w:rPr>
          <w:rFonts w:ascii="Calibri" w:hAnsi="Calibri"/>
          <w:b/>
          <w:color w:val="6E8450"/>
          <w:sz w:val="18"/>
        </w:rPr>
        <w:t xml:space="preserve">Negative: </w:t>
      </w:r>
      <w:r>
        <w:rPr>
          <w:rFonts w:ascii="Calibri" w:hAnsi="Calibri"/>
          <w:b/>
          <w:color w:val="DC2626"/>
          <w:sz w:val="17"/>
        </w:rPr>
        <w:t xml:space="preserve"> LGBT Activism </w:t>
      </w:r>
    </w:p>
    <w:p>
      <w:pPr>
        <w:spacing w:before="80" w:after="40"/>
      </w:pPr>
      <w:r>
        <w:rPr>
          <w:rFonts w:ascii="Calibri" w:hAnsi="Calibri"/>
          <w:b/>
          <w:color w:val="6E8450"/>
          <w:sz w:val="18"/>
        </w:rPr>
        <w:t xml:space="preserve">Positive: </w:t>
      </w:r>
      <w:r>
        <w:rPr>
          <w:rFonts w:ascii="Calibri" w:hAnsi="Calibri"/>
          <w:b/>
          <w:color w:val="16A34A"/>
          <w:sz w:val="17"/>
        </w:rPr>
        <w:t xml:space="preserve"> Air Quality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Business Resilience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Critical Risk Management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Customer Privacy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Customer Welfare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Data Security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Employee Wellbeing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Energy Management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Environmental Risk Mitigation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Ethical Labor Practices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Ethical Sales Practices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Ethical Supply Chain Management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Fair Competition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GHG Emissions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Hiring Ethics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Low Ecological Impact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Materials Efficiency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Product Access and Affordability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Product Sustainability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Regulatory Adherence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Waste and Hazmat Management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Water Conservation </w:t>
      </w:r>
    </w:p>
    <w:p>
      <w:pPr>
        <w:spacing w:before="120"/>
      </w:pPr>
      <w:r>
        <w:rPr>
          <w:rFonts w:ascii="Calibri" w:hAnsi="Calibri"/>
          <w:b w:val="0"/>
          <w:color w:val="9DAF88"/>
          <w:sz w:val="15"/>
        </w:rPr>
        <w:t>Source: Inspire Insight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RESOURCES</w:t>
            </w:r>
          </w:p>
        </w:tc>
      </w:tr>
    </w:tbl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1. </w:t>
      </w:r>
      <w:r>
        <w:rPr>
          <w:rFonts w:ascii="Calibri" w:hAnsi="Calibri"/>
          <w:b w:val="0"/>
          <w:color w:val="3A4A28"/>
          <w:sz w:val="17"/>
        </w:rPr>
        <w:t>NetApp Q2 and Q3 FY2026 earnings results, FY2026 guidance ($6.625-$6.875B revenue, 71.7-72.7% gross margin, 29.5-30.5% operating margin, $7.75-$8.05 EPS), ~200 AI infrastructure deals, AFX NVIDIA SuperPOD certification, AIDE in ONTAP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2. </w:t>
      </w:r>
      <w:r>
        <w:rPr>
          <w:rFonts w:ascii="Calibri" w:hAnsi="Calibri"/>
          <w:b w:val="0"/>
          <w:color w:val="3A4A28"/>
          <w:sz w:val="17"/>
        </w:rPr>
        <w:t>George Kurian leadership profile — CEO since June 2015, 'embrace disruption' philosophy, AI/Flash/Block/Cloud strategy framework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3. </w:t>
      </w:r>
      <w:r>
        <w:rPr>
          <w:rFonts w:ascii="Calibri" w:hAnsi="Calibri"/>
          <w:b w:val="0"/>
          <w:color w:val="3A4A28"/>
          <w:sz w:val="17"/>
        </w:rPr>
        <w:t>NetApp 2025 ESG Impact Report — EcoVadis GOLD rating (October 2025, top 5%), 50.8% Scope 1+2 GHG reduction target by FY2030, 51.6% Scope 3 per petabyte reduction target</w:t>
      </w:r>
    </w:p>
    <w:p>
      <w:pPr>
        <w:spacing w:before="400"/>
        <w:jc w:val="center"/>
      </w:pPr>
      <w:r>
        <w:rPr>
          <w:rFonts w:ascii="Calibri" w:hAnsi="Calibri"/>
          <w:b w:val="0"/>
          <w:color w:val="9DAF88"/>
          <w:sz w:val="16"/>
        </w:rPr>
        <w:t>Paradiem, LLC dba Intentional Ownership (“IOWN”) is a registered investment advisor. The information provided is for educational and informational purposes only and does not constitute investment advice.</w:t>
      </w:r>
    </w:p>
    <w:sectPr w:rsidR="00FC693F" w:rsidRPr="0006063C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