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NTNX</w:t>
      </w:r>
      <w:r>
        <w:rPr>
          <w:rFonts w:ascii="Calibri" w:hAnsi="Calibri"/>
          <w:b/>
          <w:color w:val="1A2010"/>
          <w:sz w:val="40"/>
        </w:rPr>
        <w:t xml:space="preserve">  Nutanix, Inc.</w:t>
      </w:r>
    </w:p>
    <w:p>
      <w:pPr>
        <w:spacing w:after="120"/>
      </w:pPr>
      <w:r>
        <w:rPr>
          <w:rFonts w:ascii="Calibri" w:hAnsi="Calibri"/>
          <w:b/>
          <w:color w:val="6E8450"/>
          <w:sz w:val="18"/>
        </w:rPr>
        <w:t>GROWTH SLEEVE · 2026-03-31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Nutanix provides an enterprise cloud platform for hybrid multicloud infrastructure, offering hyperconverged infrastructure (HCI) software, storage, database services, and AI inferencing tools. The company serves enterprises across financial services, healthcare, manufacturing, and public sector with its software-defined architecture.</w:t>
      </w:r>
    </w:p>
    <w:p>
      <w:r>
        <w:rPr>
          <w:rFonts w:ascii="Calibri" w:hAnsi="Calibri"/>
          <w:b/>
          <w:color w:val="6E8450"/>
          <w:sz w:val="18"/>
        </w:rPr>
        <w:t>7,800 Employees · https://www.nutanix.com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FY2026 revenue of $722.8M beat guidance, up 10% YoY, with ARR reaching $2.36B (18% growth) and non-GAAP operating margin expanding to 26.2% [1]. Q1 FY2026 delivered $671M revenue (13% YoY growth) with 88% gross margins [2]. AI Deployment (2/2): Nutanix launched GPT-in-a-Box and Enterprise AI inferencing platform, directly enabling customers to deploy AI workloads on-premises — their Enterprise Cloud Index found 85% of enterprises are modernizing infrastructure for AI [3]. Market Share (1/2): Strong position in HCI market but faces intense competition from VMware/Broadcom, Microsoft Azure Stack, and public cloud providers. Pipeline (1/2): AMD strategic partnership with $150M investment positions Nutanix for AI infrastructure growth; FY2026 guidance raised to $2.80–$2.84B revenue [1]. R&amp;D Intensity (1/1): Significant R&amp;D investment in cloud platform, AI tools, and Kubernetes orchestration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Nutanix's mission to simplify enterprise cloud computing and make infrastructure invisible is technically compelling but lacks broader societal resonance beyond IT efficiency. Community Impact (1/2): Employs 7,800 people, has awarded $400K+ in scholarships since 2018, and achieved 64% renewable energy in datacenters with LEED-certified offices [5]. Employee Retention (1/2): Glassdoor rating of 3.8/5 with 86% CEO approval for Rajiv Ramaswami, though sales roles show notable dissatisfaction (2.6 work-life balance) and overall rating declined 4% in the past year [4]. Insider Buying (1/2): AMD's $150M strategic investment signals institutional confidence, but insider buying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Nutanix demonstrates a strong financial profile led by exceptional gross margins of 87.1% (software-pure model) and improving operating margins at 26.2% non-GAAP in Q2 FY2026 [1]. Forward P/E of 17.6x is attractive for a company growing ARR at 18% with $665M in free cash flow (TTM) and net cash position ($1.87B cash vs $1.55B debt) [6]. Revenue growth of 10.4% YoY with FY2026 guidance of $2.80–$2.84B and FCF guidance of $745–$775M demonstrates sustainable profitable growth [1]. Profit margin of 9.9% is modest but improving rapidly — EPS expected to more than double from $0.92 to $2.16 forward. Liquidity floor cleared: 4.88M avg vol × $38.01 = $185.5M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Nutanix under CEO Rajiv Ramaswami has successfully transitioned from hardware-bundled to pure software subscription model, demonstrating strategic flexibility. The company plays a longer game than most infrastructure vendors by investing in platform breadth (Kubernetes, AI, storage) rather than optimizing short-term margins, but faces execution pressure from larger competitors.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Nutanix's just cause — making cloud infrastructure invisible and eliminating vendor lock-in — resonates with enterprise IT buyers frustrated by complexity [3]. The platform-agnostic approach (supporting all major hypervisors and clouds) embodies a customer-first philosophy. However, the mission is narrowly technical rather than broadly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team trust. CEO Ramaswami has 86% approval rating and engineering teams rate culture positively ('fast-moving industry and Nutanix has been on the forefront') [4]. However, sales culture shows significant strain — account executives rate work-life balance at 2.6/5 and career opportunities at 2.0/5, suggesting a high-pressure quota environment that undermines trust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Nutanix acknowledges VMware/Broadcom, Microsoft, and AWS as formidable rivals. The Broadcom acquisition of VMware has been a strategic gift — VMware customer dissatisfaction with Broadcom's pricing changes has driven migration to Nutanix [1]. The AMD partnership shows willingness to collaborate with chip leaders rather than going it alone on AI hardware.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Nutanix has demonstrated significant existential flexibility by pivoting from hardware-bundled appliances to pure software subscriptions (now 100% subscription), then expanding from HCI into unified storage, database services, Kubernetes, and AI inference — each pivot broadening the platform without abandoning the core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Nutanix showed courage in the painful subscription transition that temporarily depressed revenue and stock price. The decision to remain platform-agnostic when competitors push proprietary stacks is principled. However, Q3 FY2026 guidance of $680–$690M (sequential decline) with margin compression to 16–17% suggests caution over bold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Nutanix is a well-positioned enterprise cloud infrastructure company riding the AI-driven infrastructure modernization wave, with Q2 FY2026 revenue of $722.8M (10% YoY growth), ARR of $2.36B (18% growth), and exceptional 87.1% gross margins from its pure software model [1]. The forward P/E of 17.6x is compelling for a company generating $665M in annual free cash flow with a net cash balance sheet and accelerating profitability (EPS expected to more than double to $2.16) [6]. The AMD $150M strategic partnership and GPT-in-a-Box product directly address the enterprise AI infrastructure opportunity, where 85% of organizations are modernizing for AI workloads [1][3]. Nutanix benefits from VMware customer migration following Broadcom's aggressive pricing changes, providing a secular tailwind beyond the AI cycle.</w:t>
      </w:r>
    </w:p>
    <w:p>
      <w:pPr>
        <w:spacing w:after="120"/>
      </w:pPr>
      <w:r>
        <w:rPr>
          <w:rFonts w:ascii="Calibri" w:hAnsi="Calibri"/>
          <w:b w:val="0"/>
          <w:color w:val="3A4A28"/>
          <w:sz w:val="20"/>
        </w:rPr>
        <w:t>The bear case centers on competitive intensity and growth deceleration. Q3 FY2026 guidance of $680–$690M represents a sequential revenue decline with non-GAAP operating margin compressing from 26.2% to 16–17%, raising questions about sustainability of recent profitability gains [1]. Public cloud providers (AWS, Azure, GCP) continue to expand on-premises offerings (Azure Stack, AWS Outposts) that directly compete with Nutanix's hybrid cloud value proposition. The company's $10.3B market cap is small relative to competitors with far greater R&amp;D budgets. Revenue growth has decelerated from 18% in FY2025 to 10% in the most recent quarter, and supply chain concerns flagged in Q2 results could constrain near-term hardware-dependent deployments [1]. While the subscription transition is complete, customer acquisition costs in a maturing HCI market may pressure long-term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infrastructure buildout — 85% of enterprises modernizing infrastructure for AI workloads, directly expanding Nutanix's addressable market through GPT-in-a-Box and Enterprise AI platform [3]</w:t>
      </w:r>
    </w:p>
    <w:p>
      <w:pPr>
        <w:spacing w:before="40" w:after="40"/>
        <w:ind w:left="283"/>
      </w:pPr>
      <w:r>
        <w:rPr>
          <w:rFonts w:ascii="Calibri" w:hAnsi="Calibri"/>
          <w:b/>
          <w:color w:val="4A6B25"/>
          <w:sz w:val="20"/>
        </w:rPr>
        <w:t xml:space="preserve">2. </w:t>
      </w:r>
      <w:r>
        <w:rPr>
          <w:rFonts w:ascii="Calibri" w:hAnsi="Calibri"/>
          <w:b w:val="0"/>
          <w:color w:val="3A4A28"/>
          <w:sz w:val="20"/>
        </w:rPr>
        <w:t>VMware customer migration — Broadcom's aggressive VMware pricing changes driving enterprise customers to evaluate Nutanix as a primary alternative, creating a multi-year switching tailwind [1]</w:t>
      </w:r>
    </w:p>
    <w:p>
      <w:pPr>
        <w:spacing w:before="40" w:after="40"/>
        <w:ind w:left="283"/>
      </w:pPr>
      <w:r>
        <w:rPr>
          <w:rFonts w:ascii="Calibri" w:hAnsi="Calibri"/>
          <w:b/>
          <w:color w:val="4A6B25"/>
          <w:sz w:val="20"/>
        </w:rPr>
        <w:t xml:space="preserve">3. </w:t>
      </w:r>
      <w:r>
        <w:rPr>
          <w:rFonts w:ascii="Calibri" w:hAnsi="Calibri"/>
          <w:b w:val="0"/>
          <w:color w:val="3A4A28"/>
          <w:sz w:val="20"/>
        </w:rPr>
        <w:t>AMD $150M strategic partnership accelerating AI-optimized infrastructure development and providing validation from a major chip partner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from 18% (FY2025) to 10% (Q2 FY2026) with Q3 guidance implying further sequential decline and significant margin compression to 16–17% [1]</w:t>
      </w:r>
    </w:p>
    <w:p>
      <w:pPr>
        <w:spacing w:before="40" w:after="40"/>
        <w:ind w:left="283"/>
      </w:pPr>
      <w:r>
        <w:rPr>
          <w:rFonts w:ascii="Calibri" w:hAnsi="Calibri"/>
          <w:b/>
          <w:color w:val="4A6B25"/>
          <w:sz w:val="20"/>
        </w:rPr>
        <w:t xml:space="preserve">2. </w:t>
      </w:r>
      <w:r>
        <w:rPr>
          <w:rFonts w:ascii="Calibri" w:hAnsi="Calibri"/>
          <w:b w:val="0"/>
          <w:color w:val="3A4A28"/>
          <w:sz w:val="20"/>
        </w:rPr>
        <w:t>Public cloud expansion into on-premises — AWS Outposts, Azure Stack, and Google Distributed Cloud offer HCI alternatives from vendors with vastly larger R&amp;D budgets and existing enterprise relationships</w:t>
      </w:r>
    </w:p>
    <w:p>
      <w:pPr>
        <w:spacing w:before="40" w:after="40"/>
        <w:ind w:left="283"/>
      </w:pPr>
      <w:r>
        <w:rPr>
          <w:rFonts w:ascii="Calibri" w:hAnsi="Calibri"/>
          <w:b/>
          <w:color w:val="4A6B25"/>
          <w:sz w:val="20"/>
        </w:rPr>
        <w:t xml:space="preserve">3. </w:t>
      </w:r>
      <w:r>
        <w:rPr>
          <w:rFonts w:ascii="Calibri" w:hAnsi="Calibri"/>
          <w:b w:val="0"/>
          <w:color w:val="3A4A28"/>
          <w:sz w:val="20"/>
        </w:rPr>
        <w:t>Supply chain constraints flagged in Q2 FY2026 results could limit hardware partner availability, slowing customer deployments and dampening near-term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 is a direct enabler and growth driver for Nutanix — their GPT-in-a-Box and Enterprise AI platform allow enterprises to run AI workloads on-premises, positioning Nutanix as essential AI infrastructure [3]. The company's own Enterprise Cloud Index found 85% of enterprises are modernizing infrastructure for AI, with 59% expecting 5+ AI applications within three years — this is Nutanix's addressable market expanding [3]. The AMD $150M partnership specifically targets AI infrastructure opportunities [1]. Hybrid multicloud architecture is ideally suited for AI workloads that require data sovereignty and low latency. AI Opportunity (1/1): Nutanix is a net beneficiary of enterprise AI adoption — every on-premises AI deployment needs infrastructure software, and Nutanix's platform-agnostic approach makes it a natural choice for heterogeneous AI environments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Nutanix Q2 FY2026 Earnings Release — $722.8M revenue, 10% YoY growth, ARR $2.36B, February 2026</w:t>
      </w:r>
    </w:p>
    <w:p>
      <w:pPr>
        <w:spacing w:before="20" w:after="20"/>
        <w:ind w:left="170"/>
      </w:pPr>
      <w:r>
        <w:rPr>
          <w:rFonts w:ascii="Calibri" w:hAnsi="Calibri"/>
          <w:b/>
          <w:color w:val="4A6B25"/>
          <w:sz w:val="15"/>
        </w:rPr>
        <w:t xml:space="preserve">2. </w:t>
      </w:r>
      <w:r>
        <w:rPr>
          <w:rFonts w:ascii="Calibri" w:hAnsi="Calibri"/>
          <w:b w:val="0"/>
          <w:color w:val="3A4A28"/>
          <w:sz w:val="17"/>
        </w:rPr>
        <w:t>Nutanix Q1 FY2026 Earnings Release — $671M revenue, 13% YoY growth, 88% gross margin, November 2025</w:t>
      </w:r>
    </w:p>
    <w:p>
      <w:pPr>
        <w:spacing w:before="20" w:after="20"/>
        <w:ind w:left="170"/>
      </w:pPr>
      <w:r>
        <w:rPr>
          <w:rFonts w:ascii="Calibri" w:hAnsi="Calibri"/>
          <w:b/>
          <w:color w:val="4A6B25"/>
          <w:sz w:val="15"/>
        </w:rPr>
        <w:t xml:space="preserve">3. </w:t>
      </w:r>
      <w:r>
        <w:rPr>
          <w:rFonts w:ascii="Calibri" w:hAnsi="Calibri"/>
          <w:b w:val="0"/>
          <w:color w:val="3A4A28"/>
          <w:sz w:val="17"/>
        </w:rPr>
        <w:t>Nutanix Enterprise Cloud Index 2026 — AI driving container adoption, 85% infrastructure modernization,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Nutanix 3.8/5 rating, 86% CEO approval, 2,793 reviews,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Nutanix ESG Report 2023 — 64% renewable energy, LEED certifications, scholarship programs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NTNX (Nutanix),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