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NTR</w:t>
      </w:r>
      <w:r>
        <w:rPr>
          <w:rFonts w:ascii="Calibri" w:hAnsi="Calibri"/>
          <w:b/>
          <w:color w:val="1A2010"/>
          <w:sz w:val="40"/>
        </w:rPr>
        <w:t xml:space="preserve">  Nutrien Ltd.</w:t>
      </w:r>
    </w:p>
    <w:p>
      <w:pPr>
        <w:spacing w:after="120"/>
      </w:pPr>
      <w:r>
        <w:rPr>
          <w:rFonts w:ascii="Calibri" w:hAnsi="Calibri"/>
          <w:b/>
          <w:color w:val="6E8450"/>
          <w:sz w:val="18"/>
        </w:rPr>
        <w:t>DIVIDEND SLEEVE · 2026-04-06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NYSE · Canada</w:t>
      </w:r>
    </w:p>
    <w:p>
      <w:pPr>
        <w:spacing w:after="80"/>
      </w:pPr>
      <w:r>
        <w:rPr>
          <w:rFonts w:ascii="Calibri" w:hAnsi="Calibri"/>
          <w:b w:val="0"/>
          <w:color w:val="3A4A28"/>
          <w:sz w:val="20"/>
        </w:rPr>
        <w:t>Nutrien is the world's largest provider of crop inputs and services, operating through four segments: Retail (crop nutrients, protection, seed, and agronomic services), Potash (mining and processing), Nitrogen (ammonia, urea, UAN production), and Phosphate (solid/liquid fertilizers). Formed in 2018 through the merger of PotashCorp and Agrium, Nutrien operates the world's largest potash production capacity and the largest agricultural retail network.</w:t>
      </w:r>
    </w:p>
    <w:p>
      <w:r>
        <w:rPr>
          <w:rFonts w:ascii="Calibri" w:hAnsi="Calibri"/>
          <w:b/>
          <w:color w:val="6E8450"/>
          <w:sz w:val="18"/>
        </w:rPr>
        <w:t>25,000 Employees · https://www.nutrien.com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2018 PotashCorp-Agrium merger created the world's largest integrated crop inputs company, but since then Nutrien has focused on operational optimization rather than transformative new products or business model innovation. Revenue peaked at $37.9B in 2022 during the fertilizer price spike and has declined to $26.9B in 2025, reflecting commodity price normalization rather than organic growth [1]. AI Deployment (1/2): Nutrien is exploring AI applications across four areas — agronomic recommendations, supply chain optimization, mine automation, and digital agronomy platforms including drone-enabled field monitoring [3]. These are early-stage deployments without quantified revenue impact. Market Share (2/2): Nutrien is the world's largest potash producer and largest agricultural retailer, holding dominant market positions across multiple crop input categories. Record potash sales volumes in 2025 with 14.1-14.8Mt projected for 2026 demonstrate continued share leadership [1]. Pipeline (1/2): Brownfield potash expansion of 200,000 tonnes in 2026, nitrogen product optimization, and digital retail capabilities provide incremental growth visibility, but these are optimization projects rather than next-generation products [1]. R&amp;D Intensity (0/1): Agricultural inputs R&amp;D intensity is modest; Nutrien invests in agronomic services and digital tools but not at levels that distinguish it from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Nutrien's purpose of 'Feeding the Future' is specific, thoughtful, and connects the company's work to one of humanity's most fundamental challenges — feeding a growing global population sustainably [2]. This is not a generic mission; it reflects genuine intentionality about the company's role in food security and agricultural sustainability. Community Impact (1/2): Nutrien operates community programs near mining operations and has set environmental targets including freshwater use reduction, though the Aurora phosphate mine accident and waterway pollution allegations at the Mokelumne River create controversy [4]. Employee Retention (1/2): CEO Ken Seitz brings 25+ years of experience across 60+ countries and the company employs an intent-based leadership model that pushes decision-making down to empower team members [3]. However, the company has experienced CEO turnover (three CEOs since 2018 formation: Mayo Schmidt, Ken Seitz transitions). Insider Buying (1/2): Insider activity is roughly balanced; leadership maintains equity exposure through compensation but no standout net buying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Nutrien's financial profile is solid for a commodity-cyclical agricultural company. D/E of 47.4% is conservative and well below the 70% target [5]. Forward P/E of 15.6x is attractive for the world's largest crop inputs company with improving earnings momentum. ROE of 9.2% is below the 15% target, reflecting the post-2022 commodity price normalization from the fertilizer supercycle. Revenue growth of 5.7% YoY and 5-year CAGR of 5.2% are modest but positive. Profit margin of 8.7% is typical for agricultural inputs. Full-year 2025 adjusted EBITDA of $6.05B with record upstream fertilizer sales volumes demonstrates operational strength [1]. Dividend yield of 2.92% with a payout ratio of 46.8% and 6 consecutive years of dividend growth provides income stability. Liquidity floor cleared at $289M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Nutrien's 'Feeding the Future' purpose connects the company to one of humanity's most enduring challenges, and the agricultural inputs business is inherently long-term. However, the company has experienced significant leadership turnover since its 2018 formation, and the commodity nature of the business creates quarterly earnings pressure that can override long-term thinking. The potash brownfield expansions and sustainability investments show some infinite game characteristics, but the company has not yet been tested through a full cycle under stable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Nutrien's purpose of 'Feeding the Future' is a genuine Just Cause — it's resilient (food security is permanent), inclusive (benefits all of humanity), service-oriented (feeds the world), idealistic (sustainable agriculture doesn't yet exist at scale), and big (it can never be fully achieved) [2]. However, the cause hasn't been validated through decades of consistent strategic decisions under stable leadership — the company has only existed since 2018 and has already cycled through multiple CEOs.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Nutrien's intent-based leadership model, which pushes decision-making down and empowers team members, is a positive signal for organizational trust [3]. Employees work on cutting-edge agricultural technology projects including autonomous potash equipment and digital agronomy platforms. However, the CEO turnover (three transitions since 2018) creates organizational instability that undermines long-term trust-building.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Nutrien competes with ICL, K+S, and Mosaic in potash and with CF Industries in nitrogen, but the competitive language tends toward market share defense rather than improvement-focused competition. The commodity nature of fertilizers makes differentiation difficult, and competitive strategy is primarily about cost position rather than learning from rivals.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2018 PotashCorp-Agrium merger was a significant strategic move that created the world's largest integrated crop inputs company, combining upstream mining with downstream retail distribution [1]. The ongoing evolution toward digital agronomy and precision agriculture shows willingness to adapt. However, these are incremental shifts within the same industry rather than transformative reinventions.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Nutrien's investment in potash brownfield expansion and $2.0-2.1B annual capex demonstrates commitment to long-term capacity growth even during periods of depressed fertilizer prices [1]. The company maintained dividend growth through the 2023-2024 commodity downcycle, showing willingness to prioritize long-term shareholder commitment over short-term capital preservation.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Nutrien is the world's largest crop inputs company with dominant positions in potash mining, nitrogen production, and agricultural retail. Full-year 2025 results showed adjusted EBITDA of $6.05B with record upstream fertilizer sales volumes, and 2026 guidance projects continued momentum driven by strong global potash demand (74-77Mt global shipments) and 200,000 tonnes of brownfield potash expansion [1]. At 15.6x forward P/E with a 2.92% dividend yield and 6 consecutive years of dividend growth, NTR offers attractive income with valuation support from improving fundamentals. The structural need to feed a growing global population creates durable demand for Nutrien's products, while the company's integrated mine-to-farm model provides a competitive moat that pure-play producers cannot match.</w:t>
      </w:r>
    </w:p>
    <w:p>
      <w:pPr>
        <w:spacing w:after="120"/>
      </w:pPr>
      <w:r>
        <w:rPr>
          <w:rFonts w:ascii="Calibri" w:hAnsi="Calibri"/>
          <w:b w:val="0"/>
          <w:color w:val="3A4A28"/>
          <w:sz w:val="20"/>
        </w:rPr>
        <w:t>The bear case centers on commodity cyclicality, weak profitability metrics, and leadership instability. Revenue has declined from the $37.9B peak in 2022 to $26.9B in 2025, a 29% decline driven by fertilizer price normalization after the Russia-Ukraine supercycle, and ROE of 9.2% is well below the 15% target [5]. Profit margin of 8.7% is thin for a company with Nutrien's scale advantages. CEO turnover — three leadership transitions since 2018 — creates strategic uncertainty and undermines long-term execution confidence [3]. Potash prices remain well below 2022 peaks, and a further decline would compress margins given the high fixed-cost nature of mining operations. Environmental controversies including waterway pollution at the Mokelumne River, the Aurora phosphate mine accident, and criticism of ESN polymer-coated nitrogen products create regulatory and reputational risk [4]. The agricultural inputs market is increasingly competitive with Mosaic, CF Industries, and ICL all expanding capacity. Dividend growth has been modest (4.2% 5yr CAGR) relative to the income investor expectations embedded in the 2.92%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potash demand growth to 74-77Mt in 2026 with Nutrien targeting 14.1-14.8Mt sales volumes, supported by strong crop affordability and offshore consumption growth [1]</w:t>
      </w:r>
    </w:p>
    <w:p>
      <w:pPr>
        <w:spacing w:before="40" w:after="40"/>
        <w:ind w:left="283"/>
      </w:pPr>
      <w:r>
        <w:rPr>
          <w:rFonts w:ascii="Calibri" w:hAnsi="Calibri"/>
          <w:b/>
          <w:color w:val="4A6B25"/>
          <w:sz w:val="20"/>
        </w:rPr>
        <w:t xml:space="preserve">2. </w:t>
      </w:r>
      <w:r>
        <w:rPr>
          <w:rFonts w:ascii="Calibri" w:hAnsi="Calibri"/>
          <w:b w:val="0"/>
          <w:color w:val="3A4A28"/>
          <w:sz w:val="20"/>
        </w:rPr>
        <w:t>Brownfield potash expansion of 200,000 tonnes in 2026 and nitrogen product optimization projects that increase capacity without greenfield capex risk [1]</w:t>
      </w:r>
    </w:p>
    <w:p>
      <w:pPr>
        <w:spacing w:before="40" w:after="40"/>
        <w:ind w:left="283"/>
      </w:pPr>
      <w:r>
        <w:rPr>
          <w:rFonts w:ascii="Calibri" w:hAnsi="Calibri"/>
          <w:b/>
          <w:color w:val="4A6B25"/>
          <w:sz w:val="20"/>
        </w:rPr>
        <w:t xml:space="preserve">3. </w:t>
      </w:r>
      <w:r>
        <w:rPr>
          <w:rFonts w:ascii="Calibri" w:hAnsi="Calibri"/>
          <w:b w:val="0"/>
          <w:color w:val="3A4A28"/>
          <w:sz w:val="20"/>
        </w:rPr>
        <w:t>Digital agronomy platform expansion and precision agriculture services that differentiate Nutrien's retail network from commodity-only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Fertilizer price cyclicality — potash and nitrogen prices remain well below 2022 peaks, and further declines would compress margins on high-fixed-cost mining operations [1]</w:t>
      </w:r>
    </w:p>
    <w:p>
      <w:pPr>
        <w:spacing w:before="40" w:after="40"/>
        <w:ind w:left="283"/>
      </w:pPr>
      <w:r>
        <w:rPr>
          <w:rFonts w:ascii="Calibri" w:hAnsi="Calibri"/>
          <w:b/>
          <w:color w:val="4A6B25"/>
          <w:sz w:val="20"/>
        </w:rPr>
        <w:t xml:space="preserve">2. </w:t>
      </w:r>
      <w:r>
        <w:rPr>
          <w:rFonts w:ascii="Calibri" w:hAnsi="Calibri"/>
          <w:b w:val="0"/>
          <w:color w:val="3A4A28"/>
          <w:sz w:val="20"/>
        </w:rPr>
        <w:t>CEO and leadership instability — three CEO transitions since Nutrien's 2018 formation (Mayo Schmidt, interim, Ken Seitz) creates strategic uncertainty [3]</w:t>
      </w:r>
    </w:p>
    <w:p>
      <w:pPr>
        <w:spacing w:before="40" w:after="40"/>
        <w:ind w:left="283"/>
      </w:pPr>
      <w:r>
        <w:rPr>
          <w:rFonts w:ascii="Calibri" w:hAnsi="Calibri"/>
          <w:b/>
          <w:color w:val="4A6B25"/>
          <w:sz w:val="20"/>
        </w:rPr>
        <w:t xml:space="preserve">3. </w:t>
      </w:r>
      <w:r>
        <w:rPr>
          <w:rFonts w:ascii="Calibri" w:hAnsi="Calibri"/>
          <w:b w:val="0"/>
          <w:color w:val="3A4A28"/>
          <w:sz w:val="20"/>
        </w:rPr>
        <w:t>Environmental and regulatory risk — waterway pollution allegations, Aurora mine accident, and ESN polymer-coated nitrogen criticism expose Nutrien to tightening environmental regulations and potential remediation costs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Nutrien's core business of mining potash, producing nitrogen fertilizers, and distributing crop inputs through physical retail locations is structurally immune to AI disruption [1]. AI cannot mine potash, synthesize ammonia, or replace the physical logistics of delivering fertilizer to farms. Agriculture is a physical-world industry where AI serves as an optimization tool rather than a substitute for the product. The global population's need for food production creates inelastic demand for Nutrien's products regardless of AI advances. AI Opportunity (0/1): While Nutrien is exploring AI for agronomic recommendations, mine automation, and digital retail platforms, these are cost-reduction and service-enhancement tools rather than revenue-generating AI products [3]. No quantified AI revenue contribution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Nutrien Full-Year 2025 Results and 2026 Guidance — $6.05B adjusted EBITDA, record upstream volumes, potash expansion, February 2026</w:t>
      </w:r>
    </w:p>
    <w:p>
      <w:pPr>
        <w:spacing w:before="20" w:after="20"/>
        <w:ind w:left="170"/>
      </w:pPr>
      <w:r>
        <w:rPr>
          <w:rFonts w:ascii="Calibri" w:hAnsi="Calibri"/>
          <w:b/>
          <w:color w:val="4A6B25"/>
          <w:sz w:val="15"/>
        </w:rPr>
        <w:t xml:space="preserve">2. </w:t>
      </w:r>
      <w:r>
        <w:rPr>
          <w:rFonts w:ascii="Calibri" w:hAnsi="Calibri"/>
          <w:b w:val="0"/>
          <w:color w:val="3A4A28"/>
          <w:sz w:val="17"/>
        </w:rPr>
        <w:t>Nutrien Corporate Website — 'Feeding the Future' purpose, leadership page, sustainability strategy</w:t>
      </w:r>
    </w:p>
    <w:p>
      <w:pPr>
        <w:spacing w:before="20" w:after="20"/>
        <w:ind w:left="170"/>
      </w:pPr>
      <w:r>
        <w:rPr>
          <w:rFonts w:ascii="Calibri" w:hAnsi="Calibri"/>
          <w:b/>
          <w:color w:val="4A6B25"/>
          <w:sz w:val="15"/>
        </w:rPr>
        <w:t xml:space="preserve">3. </w:t>
      </w:r>
      <w:r>
        <w:rPr>
          <w:rFonts w:ascii="Calibri" w:hAnsi="Calibri"/>
          <w:b w:val="0"/>
          <w:color w:val="3A4A28"/>
          <w:sz w:val="17"/>
        </w:rPr>
        <w:t>CropLife — 'Thinking Big: How Nutrien Is Redefining Global Ag Retail with Innovation, AI, and Sustainable Growth'; Nutrien leadership culture and AI initiatives</w:t>
      </w:r>
    </w:p>
    <w:p>
      <w:pPr>
        <w:spacing w:before="20" w:after="20"/>
        <w:ind w:left="170"/>
      </w:pPr>
      <w:r>
        <w:rPr>
          <w:rFonts w:ascii="Calibri" w:hAnsi="Calibri"/>
          <w:b/>
          <w:color w:val="4A6B25"/>
          <w:sz w:val="15"/>
        </w:rPr>
        <w:t xml:space="preserve">4. </w:t>
      </w:r>
      <w:r>
        <w:rPr>
          <w:rFonts w:ascii="Calibri" w:hAnsi="Calibri"/>
          <w:b w:val="0"/>
          <w:color w:val="3A4A28"/>
          <w:sz w:val="17"/>
        </w:rPr>
        <w:t>ChemSec Controversies Report — Nutrien environmental controversies including ESN criticism, waterway pollution, Aurora mine accident</w:t>
      </w:r>
    </w:p>
    <w:p>
      <w:pPr>
        <w:spacing w:before="20" w:after="20"/>
        <w:ind w:left="170"/>
      </w:pPr>
      <w:r>
        <w:rPr>
          <w:rFonts w:ascii="Calibri" w:hAnsi="Calibri"/>
          <w:b/>
          <w:color w:val="4A6B25"/>
          <w:sz w:val="15"/>
        </w:rPr>
        <w:t xml:space="preserve">5. </w:t>
      </w:r>
      <w:r>
        <w:rPr>
          <w:rFonts w:ascii="Calibri" w:hAnsi="Calibri"/>
          <w:b w:val="0"/>
          <w:color w:val="3A4A28"/>
          <w:sz w:val="17"/>
        </w:rPr>
        <w:t>Yahoo Finance — NTR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