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NUAI</w:t>
      </w:r>
      <w:r>
        <w:rPr>
          <w:rFonts w:ascii="Calibri" w:hAnsi="Calibri"/>
          <w:b/>
          <w:color w:val="1A2010"/>
          <w:sz w:val="40"/>
        </w:rPr>
        <w:t xml:space="preserve">  New Era Energy &amp; Digital, Inc.</w:t>
      </w:r>
    </w:p>
    <w:p>
      <w:pPr>
        <w:spacing w:after="120"/>
      </w:pPr>
      <w:r>
        <w:rPr>
          <w:rFonts w:ascii="Calibri" w:hAnsi="Calibri"/>
          <w:b/>
          <w:color w:val="6E8450"/>
          <w:sz w:val="18"/>
        </w:rPr>
        <w:t>GROWTH SLEEVE · 2026-03-31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New Era Energy &amp; Digital operates as a developer of next-generation digital infrastructure and integrated power assets. Formerly New Era Helium, the company is pivoting from helium/oil/gas exploration to AI data center development. Its flagship Texas Critical Data Centers (TCDC) project in Ector County, Texas targets 1+ gigawatt of liquid-cooled, high-performance compute infrastructure for AI training and inference workloads.</w:t>
      </w:r>
    </w:p>
    <w:p>
      <w:r>
        <w:rPr>
          <w:rFonts w:ascii="Calibri" w:hAnsi="Calibri"/>
          <w:b/>
          <w:color w:val="6E8450"/>
          <w:sz w:val="18"/>
        </w:rPr>
        <w:t>5 Employees · https://www.newerainfra.ai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a meaningful pivot from helium exploration to AI data center infrastructure, rebranding from New Era Helium to New Era Energy &amp; Digital in August 2025 [1]. However, no revenue-generating products have launched from the new strategy — TCDC remains in development. AI Deployment (1/2): The TCDC campus is purpose-built for AI training, inference, and HPC workloads with liquid-cooling infrastructure, but no AI products are shipping and no measurable results exist yet [2]. Market Share (0/2): NUAI is a micro-cap ($211M) entrant in a hyperscale data center market dominated by Equinix, Digital Realty, and hyperscaler self-builds. No market share to speak of. Pipeline (1/2): The 1+ GW TCDC partnership with Primary Digital Infrastructure announced January 2026 provides a specific pipeline, and Phase One engineering was completed September 2025 [2][3]. Timelines remain vague beyond 'under development.' R&amp;D Intensity (1/1): Virtually all operating spend ($4.2M quarterly loss on $159K revenue) is directed toward data center engineering and development, representing extreme R&amp;D intensity relative to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Will Gray articulates a clear purpose — 'solve one of the largest bottlenecks in the AI economy: delivering reliable, scalable, energy-integrated digital infrastructure' — which identifies what the company does and for whom but is not yet validated by execution [2]. Community Impact (0/2): No evidence of charitable programs, community investment, or foundation activity; the company has only 5 employees. Employee Retention (1/2): With just 5 employees, turnover data is meaningless at scale, but the recent CFO hire (Ted Warner, March 2026) brings institutional credibility from energy and infrastructure capital markets [2]. Insider Buying (1/2): Management eliminated all convertible debt and terminated the equity purchase facility, signaling alignment with long-term value creation over dilutive financing, though no specific insider purchase data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mechanically inflated due to limited available metrics. The company carries zero debt (D/E 0%) and reported 28.6% YoY revenue growth, but this is from a negligible $885K annual revenue base [4]. Profit margin is 0% with operating losses of $4.2M quarterly. Forward P/E, ROE, PEG ratio, and 5yr CAGR are all unavailable. Free cash flow is negative at -$9.5M annually. Cash on hand is $1.2M against zero debt [4]. Liquidity floor cleared: 5.45M avg volume × $3.72 = $20.3M daily liquidity. Score reflects only three available metrics (D/E, revenue growth YoY, profit margin) — the mechanical calculation yields 7 but masks severe fundamental weakness in a pre-revenue development-stage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NUAI's pivot from helium exploration to AI data center infrastructure demonstrates existential flexibility, but the company is too early-stage to have validated its Just Cause through sustained execution. The vision is ambitious — solving the AI economy's energy-compute bottleneck — but with 5 employees, negligible revenue, and no operating assets, the infinite game credentials remain aspirational.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Gray's vision of 'building for a future where energy and compute are inseparable drivers of value' is clear and specific to the AI infrastructure bottleneck [2]. However, this cause emerged from a rebrand less than one year ago and has not been tested through crisis or execution. It reads as genuine intention but lacks the multi-year validation Sinek demands — 1 point on the weighted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 full-time employees, there is insufficient organizational structure to evaluate team trust, psychological safety, or employee empowerment [4]. The company is essentially a small leadership team executing a development-stage vision. No Glassdoor data, no retention metrics, no cultural evidence available — 0 points on the weighted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or learning from competitors like Equinix, Digital Realty, or hyperscaler self-builds. Competitive language from CEO Gray focuses on NUAI's own vision rather than positioning relative to rivals — 0 points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New Era Helium (a small helium/gas exploration company) to New Era Energy &amp; Digital (an AI data center infrastructure developer) is a textbook existential pivot [1][2]. The company abandoned its core business model, changed its name, and redirected all resources toward a fundamentally different market. While driven partly by necessity (helium market challenges), the pivot toward AI infrastructure was strategic and forward-looking — 2 points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courage by eliminating all convertible debt, terminating the equity purchase facility, and committing to project-level financing over parent dilution [4]. The decision to wind down a revenue-generating (if small) helium business to pursue a speculative AI data center strategy required sacrificing near-term cash flows for a long-term vision — 1 point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 Era Energy &amp; Digital represents a speculative early-stage bet on AI infrastructure. The company's TCDC project in Ector County, Texas targets 1+ GW of liquid-cooled, AI-optimized compute capacity in partnership with Primary Digital Infrastructure [2][3]. The Permian Basin location offers abundant low-cost natural gas, existing pipeline infrastructure, and a pro-growth Texas regulatory environment. Zero debt, a clean capital structure (all convertible debt eliminated), and the planned project-level financing model could minimize parent-company dilution as the campus scales [4]. The AI data center buildout is a secular megatrend with demand projected to exceed supply through the end of the decade.</w:t>
      </w:r>
    </w:p>
    <w:p>
      <w:pPr>
        <w:spacing w:after="120"/>
      </w:pPr>
      <w:r>
        <w:rPr>
          <w:rFonts w:ascii="Calibri" w:hAnsi="Calibri"/>
          <w:b w:val="0"/>
          <w:color w:val="3A4A28"/>
          <w:sz w:val="20"/>
        </w:rPr>
        <w:t>The bear case is severe: NUAI is a 5-employee, $211M market cap company with $885K in annual revenue and -$9.5M in free cash flow attempting to build a gigawatt-scale data center campus [4]. The company has no operating data center assets, no institutional customers, and no construction financing in place. It competes against hyperscalers with virtually unlimited capital (AWS, Azure, GCP) and established data center REITs (Equinix at $80B+ market cap, Digital Realty at $50B+). Cash on hand of $1.2M is negligible for a project of this scale — significant dilutive financing is likely inevitable despite management's stated preference for project-level funding. The stock trades 44% below its 50-day SMA ($5.29 vs $3.72), suggesting deteriorating market confidence. Execution risk is extreme.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TCDC construction financing announcement — securing institutional capital for the 1+ GW campus would validate the business model and de-risk the development timeline [2][3]</w:t>
      </w:r>
    </w:p>
    <w:p>
      <w:pPr>
        <w:spacing w:before="40" w:after="40"/>
        <w:ind w:left="283"/>
      </w:pPr>
      <w:r>
        <w:rPr>
          <w:rFonts w:ascii="Calibri" w:hAnsi="Calibri"/>
          <w:b/>
          <w:color w:val="4A6B25"/>
          <w:sz w:val="20"/>
        </w:rPr>
        <w:t xml:space="preserve">2. </w:t>
      </w:r>
      <w:r>
        <w:rPr>
          <w:rFonts w:ascii="Calibri" w:hAnsi="Calibri"/>
          <w:b w:val="0"/>
          <w:color w:val="3A4A28"/>
          <w:sz w:val="20"/>
        </w:rPr>
        <w:t>First customer contract or letter of intent for TCDC capacity — converting the pipeline from development to committed revenue would be transformative for a pre-revenue company</w:t>
      </w:r>
    </w:p>
    <w:p>
      <w:pPr>
        <w:spacing w:before="40" w:after="40"/>
        <w:ind w:left="283"/>
      </w:pPr>
      <w:r>
        <w:rPr>
          <w:rFonts w:ascii="Calibri" w:hAnsi="Calibri"/>
          <w:b/>
          <w:color w:val="4A6B25"/>
          <w:sz w:val="20"/>
        </w:rPr>
        <w:t xml:space="preserve">3. </w:t>
      </w:r>
      <w:r>
        <w:rPr>
          <w:rFonts w:ascii="Calibri" w:hAnsi="Calibri"/>
          <w:b w:val="0"/>
          <w:color w:val="3A4A28"/>
          <w:sz w:val="20"/>
        </w:rPr>
        <w:t>Legacy helium/energy asset divestiture — monetizing remaining exploration assets could provide bridge capital and simplify the corporate 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execution risk — a 5-employee company with $1.2M cash attempting to develop a 1+ GW data center campus faces massive capital, engineering, and operational hurdles with no track record in data center operations [4]</w:t>
      </w:r>
    </w:p>
    <w:p>
      <w:pPr>
        <w:spacing w:before="40" w:after="40"/>
        <w:ind w:left="283"/>
      </w:pPr>
      <w:r>
        <w:rPr>
          <w:rFonts w:ascii="Calibri" w:hAnsi="Calibri"/>
          <w:b/>
          <w:color w:val="4A6B25"/>
          <w:sz w:val="20"/>
        </w:rPr>
        <w:t xml:space="preserve">2. </w:t>
      </w:r>
      <w:r>
        <w:rPr>
          <w:rFonts w:ascii="Calibri" w:hAnsi="Calibri"/>
          <w:b w:val="0"/>
          <w:color w:val="3A4A28"/>
          <w:sz w:val="20"/>
        </w:rPr>
        <w:t>Dilution risk — project-level financing may not materialize, forcing parent-company equity raises that dilute the $211M market cap substantially</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hyperscalers and established data center operators could saturate West Texas data center capacity before TCDC reaches commercial operation, leaving NUAI with stranded development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NUAI is building physical AI data center infrastructure, which positions it as an AI enabler rather than a company threatened by AI [2][3]. However, the company has no operating data center assets — TCDC is in development, and legacy helium/gas operations are being divested. The data center market is fiercely competitive with hyperscalers (AWS, Azure, GCP) self-building and established REITs (Equinix, Digital Realty) dominating. NUAI's competitive position is unproven, and execution risk is extreme for a 5-person, $211M market cap company attempting a 1+ GW campus. AI Opportunity (1/1): The entire strategic pivot is toward AI infrastructure — TCDC is designed specifically for AI training, inference, and HPC workloads, representing NUAI's sole future revenue strategy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Era Energy &amp; Digital corporate rebrand announcement, August 2025 — name change from New Era Helium to New Era Energy &amp; Digital</w:t>
      </w:r>
    </w:p>
    <w:p>
      <w:pPr>
        <w:spacing w:before="20" w:after="20"/>
        <w:ind w:left="170"/>
      </w:pPr>
      <w:r>
        <w:rPr>
          <w:rFonts w:ascii="Calibri" w:hAnsi="Calibri"/>
          <w:b/>
          <w:color w:val="4A6B25"/>
          <w:sz w:val="15"/>
        </w:rPr>
        <w:t xml:space="preserve">2. </w:t>
      </w:r>
      <w:r>
        <w:rPr>
          <w:rFonts w:ascii="Calibri" w:hAnsi="Calibri"/>
          <w:b w:val="0"/>
          <w:color w:val="3A4A28"/>
          <w:sz w:val="17"/>
        </w:rPr>
        <w:t>BusinessWire — New Era Energy &amp; Digital partners with Primary Digital Infrastructure to co-develop 1+ GW hyperscale data center campus, January 16,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New Era Energy &amp; Digital advances development of flagship AI data center campus with Phase One engineering completion, September 24, 2025</w:t>
      </w:r>
    </w:p>
    <w:p>
      <w:pPr>
        <w:spacing w:before="20" w:after="20"/>
        <w:ind w:left="170"/>
      </w:pPr>
      <w:r>
        <w:rPr>
          <w:rFonts w:ascii="Calibri" w:hAnsi="Calibri"/>
          <w:b/>
          <w:color w:val="4A6B25"/>
          <w:sz w:val="15"/>
        </w:rPr>
        <w:t xml:space="preserve">4. </w:t>
      </w:r>
      <w:r>
        <w:rPr>
          <w:rFonts w:ascii="Calibri" w:hAnsi="Calibri"/>
          <w:b w:val="0"/>
          <w:color w:val="3A4A28"/>
          <w:sz w:val="17"/>
        </w:rPr>
        <w:t>BusinessWire — New Era Energy &amp; Digital Q3 2025 financial results: $159K revenue, ($4.2M) operating loss, November 13,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NUAI,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