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NVX</w:t>
      </w:r>
      <w:r>
        <w:rPr>
          <w:rFonts w:ascii="Calibri" w:hAnsi="Calibri"/>
          <w:b/>
          <w:color w:val="1A2010"/>
          <w:sz w:val="40"/>
        </w:rPr>
        <w:t xml:space="preserve">  NOVONIX Limited</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Australia</w:t>
      </w:r>
    </w:p>
    <w:p>
      <w:pPr>
        <w:spacing w:after="80"/>
      </w:pPr>
      <w:r>
        <w:rPr>
          <w:rFonts w:ascii="Calibri" w:hAnsi="Calibri"/>
          <w:b w:val="0"/>
          <w:color w:val="3A4A28"/>
          <w:sz w:val="20"/>
        </w:rPr>
        <w:t>NOVONIX is a battery technology and materials company developing and manufacturing synthetic graphite anode materials for lithium-ion batteries, along with battery cell testing equipment. The company operates from facilities in Chattanooga, Tennessee, targeting EV manufacturers and energy storage systems with its patented all-dry, zero-waste production process.</w:t>
      </w:r>
    </w:p>
    <w:p>
      <w:r>
        <w:rPr>
          <w:rFonts w:ascii="Calibri" w:hAnsi="Calibri"/>
          <w:b/>
          <w:color w:val="6E8450"/>
          <w:sz w:val="18"/>
        </w:rPr>
        <w:t>192 Employees · https://www.novonixgroup.com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NOVONIX has pivoted from a battery testing company to a synthetic graphite anode material manufacturer, but has yet to achieve commercial-scale production — mass production for Panasonic was delayed to H2 2027 [1]. Revenue declined to $5.6M in 2025 with net losses of $92.7M. AI Deployment (1/2): NOVONIX partnered with SandboxAQ to apply AI-driven chemical simulation to predict lithium-ion battery lifespans using its UHPC technology — a genuine AI application in materials science [2]. Market Share (2/2): First-mover position as North America's first dedicated synthetic graphite anode producer with binding offtake agreements from Panasonic, LG Energy Solution, and KORE Power that presell initial 20,000-tonne capacity [1]. Pipeline (2/2): Two facilities targeting 50,000+ tonnes per year capacity with specific customer commitments and timelines; achieved first mass production commercial-grade sample in September 2025 [1]. R&amp;D Intensity (0/1): R&amp;D spending is high relative to revenue but the company is pre-revenue at scale, making the metric less meaningful.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NOVONIX's mission of 'Powering a Sustainable Future' through domestic battery material production that reduces supply chain dependence on China is specific, intentional, and connects the company's work to energy independence and decarbonization [2]. The 60% reduction in global warming potential vs Chinese synthetic graphite validates the mission through execution. Community Impact (1/2): Expanded partnership with Lookout Valley Middle High School through the NOVONIX Institute of Advanced Battery Technology, demonstrating community investment in Chattanooga [3]. Employee Retention (0/2): CEO transition in January 2025 (Chris Burns departure) followed by interim CEO and then Michael O'Kronley appointment in May 2025 indicates leadership instability [2]. Insider Buying (1/2): New CEO O'Kronley brings credibility from increasing Ascend Elements' enterprise value by $1.6B in 5 years, suggesting belief in NOVONIX's potential.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(401,393) × stock_price ($0.72) = $289,003, which is below the $1,000,000 minimum threshold [4]. Infrastructure score automatically set to 0. Underlying metrics are also deeply challenged: negative ROE (-62.0%), zero profit margin, revenue decline of -10.1% YoY, $5.6M total revenue against $92.7M net loss, and $42.2M negative operating cash flow. The company burns approximately $84.5M annually in free cash flow [4]. D/E of 62.1% is the sole positive metric.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NOVONIX demonstrates infinite game aspirations through its mission of building domestic battery supply chain independence, but leadership instability (CEO departure January 2025) and severe cash burn raise questions about whether the company can sustain its cause long enough to achieve it. The Just Cause is genuine but the execution timeline has repeatedly slipped.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NOVONIX's cause — building North America's first domestic synthetic graphite supply chain to reduce Chinese dependence and enable the clean energy transition — is specific, idealistic, and connected to a vision of energy independence that transcends the company itself [2]. The 60% lower carbon footprint validates environmental alignment. However, repeated production delays (Panasonic pushed to H2 2027) test whether the cause can survive extended timelines. (2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Chris Burns departed in January 2025, followed by an interim CEO period and then Michael O'Kronley's appointment in May 2025 [2]. Board Chair also changed (Ronald Edmonds appointed July 2025). This level of leadership turnover at a 192-person company signals organizational instability. The company divested its non-core testing business in April 2026, indicating strategic uncertainty.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NOVONIX positions itself as differentiated from Chinese synthetic graphite producers through its environmental process, but the competitive language focuses on replacing Chinese supply rather than learning from rival approaches. The company does not publicly acknowledge or learn from peer battery materials companies.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NOVONIX pivoted from battery testing equipment to synthetic graphite anode manufacturing — a meaningful strategic shift driven by its mission of powering sustainable energy [2]. The April 2026 divestiture of the testing business further sharpens focus on the materials opportunity. These are incremental evolutions rather than transformative reinventions.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NOVONIX is investing hundreds of millions in manufacturing capacity before generating meaningful revenue — a genuinely courageous bet on the domestic battery supply chain thesis [1]. However, the repeated timeline delays (Panasonic pushed to H2 2027) raise questions about whether this is courage or over-promising. New CEO O'Kronley's track record at Ascend Elements suggests capable leadership.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NOVONIX holds a first-mover position as North America's only dedicated synthetic graphite anode producer with binding offtake agreements from Panasonic, LG Energy Solution, and KORE Power totaling 20,000+ tonnes of initial capacity [1]. The company's patented all-dry process delivers 60% lower global warming potential versus Chinese synthetic graphite, aligning with EV OEM sustainability requirements and IRA domestic content provisions [3]. Two facilities targeting 50,000+ tonnes/year capacity with new CEO Michael O'Kronley bringing proven battery industry scaling experience ($1.6B value creation at Ascend Elements) [2]. The $155M market cap represents potential deep value if production milestones are achieved.</w:t>
      </w:r>
    </w:p>
    <w:p>
      <w:pPr>
        <w:spacing w:after="120"/>
      </w:pPr>
      <w:r>
        <w:rPr>
          <w:rFonts w:ascii="Calibri" w:hAnsi="Calibri"/>
          <w:b w:val="0"/>
          <w:color w:val="3A4A28"/>
          <w:sz w:val="20"/>
        </w:rPr>
        <w:t>The bear case is severe: NOVONIX is a pre-revenue company burning $84.5M annually in free cash flow with only $79.9M cash on hand and $100.3M in debt — creating near-term funding risk [4]. Mass production for Panasonic was delayed to H2 2027, representing the second material timeline push. The stock has collapsed from higher levels to $0.72, and the $289K daily liquidity makes the position untradeable for institutional investors. CEO turnover (three leaders in 18 months) indicates organizational instability. Revenue was just $5.6M in 2025 against a $92.7M net loss [1]. If production timelines slip further or offtake customers renegotiate terms, the company may require dilutive capital raises or face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Mass production start of battery-grade synthetic graphite for Panasonic Energy targeted for H2 2027 — the company's commercial proof point [1]</w:t>
      </w:r>
    </w:p>
    <w:p>
      <w:pPr>
        <w:spacing w:before="40" w:after="40"/>
        <w:ind w:left="283"/>
      </w:pPr>
      <w:r>
        <w:rPr>
          <w:rFonts w:ascii="Calibri" w:hAnsi="Calibri"/>
          <w:b/>
          <w:color w:val="4A6B25"/>
          <w:sz w:val="20"/>
        </w:rPr>
        <w:t xml:space="preserve">2. </w:t>
      </w:r>
      <w:r>
        <w:rPr>
          <w:rFonts w:ascii="Calibri" w:hAnsi="Calibri"/>
          <w:b w:val="0"/>
          <w:color w:val="3A4A28"/>
          <w:sz w:val="20"/>
        </w:rPr>
        <w:t>IRA domestic content provisions and tariff-driven reshoring of battery supply chains creating structural demand tailwind for U.S.-produced anode materials</w:t>
      </w:r>
    </w:p>
    <w:p>
      <w:pPr>
        <w:spacing w:before="40" w:after="40"/>
        <w:ind w:left="283"/>
      </w:pPr>
      <w:r>
        <w:rPr>
          <w:rFonts w:ascii="Calibri" w:hAnsi="Calibri"/>
          <w:b/>
          <w:color w:val="4A6B25"/>
          <w:sz w:val="20"/>
        </w:rPr>
        <w:t xml:space="preserve">3. </w:t>
      </w:r>
      <w:r>
        <w:rPr>
          <w:rFonts w:ascii="Calibri" w:hAnsi="Calibri"/>
          <w:b w:val="0"/>
          <w:color w:val="3A4A28"/>
          <w:sz w:val="20"/>
        </w:rPr>
        <w:t>New CEO Michael O'Kronley's proven battery industry scaling credentials potentially accelerating operational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$84.5M/year against $79.9M cash position creates near-term funding risk requiring dilutive capital raise within 12 months [4]</w:t>
      </w:r>
    </w:p>
    <w:p>
      <w:pPr>
        <w:spacing w:before="40" w:after="40"/>
        <w:ind w:left="283"/>
      </w:pPr>
      <w:r>
        <w:rPr>
          <w:rFonts w:ascii="Calibri" w:hAnsi="Calibri"/>
          <w:b/>
          <w:color w:val="4A6B25"/>
          <w:sz w:val="20"/>
        </w:rPr>
        <w:t xml:space="preserve">2. </w:t>
      </w:r>
      <w:r>
        <w:rPr>
          <w:rFonts w:ascii="Calibri" w:hAnsi="Calibri"/>
          <w:b w:val="0"/>
          <w:color w:val="3A4A28"/>
          <w:sz w:val="20"/>
        </w:rPr>
        <w:t>Production timeline delays — Panasonic mass production pushed to H2 2027 from earlier targets, pattern of over-promising and under-delivering [1]</w:t>
      </w:r>
    </w:p>
    <w:p>
      <w:pPr>
        <w:spacing w:before="40" w:after="40"/>
        <w:ind w:left="283"/>
      </w:pPr>
      <w:r>
        <w:rPr>
          <w:rFonts w:ascii="Calibri" w:hAnsi="Calibri"/>
          <w:b/>
          <w:color w:val="4A6B25"/>
          <w:sz w:val="20"/>
        </w:rPr>
        <w:t xml:space="preserve">3. </w:t>
      </w:r>
      <w:r>
        <w:rPr>
          <w:rFonts w:ascii="Calibri" w:hAnsi="Calibri"/>
          <w:b w:val="0"/>
          <w:color w:val="3A4A28"/>
          <w:sz w:val="20"/>
        </w:rPr>
        <w:t>Liquidity floor violation — $289K average daily trading value makes position entry/exit extremely difficult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NOVONIX manufactures physical battery materials (synthetic graphite) — a tangible product that AI cannot replace. However, the company is pre-revenue at scale and faces technology execution risk that makes it vulnerable to competitive disruption from better-funded materials companies. The domestic supply chain thesis is protected by trade policy rather than pure technology moats [1]. AI Opportunity (1/1): The SandboxAQ partnership applies AI to predict battery lifespans using NOVONIX's UHPC testing data — a genuine AI-derived revenue opportunity that leverages the company's proprietary dataset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NOVONIX Full Year 2025 Earnings — $5.6M revenue, $92.7M net loss, Panasonic production delayed to H2 2027, commercial-grade sample September 2025</w:t>
      </w:r>
    </w:p>
    <w:p>
      <w:pPr>
        <w:spacing w:before="20" w:after="20"/>
        <w:ind w:left="170"/>
      </w:pPr>
      <w:r>
        <w:rPr>
          <w:rFonts w:ascii="Calibri" w:hAnsi="Calibri"/>
          <w:b/>
          <w:color w:val="4A6B25"/>
          <w:sz w:val="15"/>
        </w:rPr>
        <w:t xml:space="preserve">2. </w:t>
      </w:r>
      <w:r>
        <w:rPr>
          <w:rFonts w:ascii="Calibri" w:hAnsi="Calibri"/>
          <w:b w:val="0"/>
          <w:color w:val="3A4A28"/>
          <w:sz w:val="17"/>
        </w:rPr>
        <w:t>NOVONIX corporate website and press releases — CEO transition (O'Kronley May 2025), SandboxAQ AI partnership, mission statement,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NOVONIX 2024 Sustainability Report — 60% lower GWP vs Chinese graphite, Lookout Valley school partnership, community engagement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NVX (NOVONIX Limited),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