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NWL</w:t>
      </w:r>
      <w:r>
        <w:rPr>
          <w:rFonts w:ascii="Calibri" w:hAnsi="Calibri"/>
          <w:b/>
          <w:color w:val="1A2010"/>
          <w:sz w:val="40"/>
        </w:rPr>
        <w:t xml:space="preserve">  Newell Brands Inc.</w:t>
      </w:r>
    </w:p>
    <w:p>
      <w:pPr>
        <w:spacing w:after="120"/>
      </w:pPr>
      <w:r>
        <w:rPr>
          <w:rFonts w:ascii="Calibri" w:hAnsi="Calibri"/>
          <w:b/>
          <w:color w:val="6E8450"/>
          <w:sz w:val="18"/>
        </w:rPr>
        <w:t>DIVIDEND SLEEVE · 2026-03-30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NASDAQ · United States</w:t>
      </w:r>
    </w:p>
    <w:p>
      <w:pPr>
        <w:spacing w:after="80"/>
      </w:pPr>
      <w:r>
        <w:rPr>
          <w:rFonts w:ascii="Calibri" w:hAnsi="Calibri"/>
          <w:b w:val="0"/>
          <w:color w:val="3A4A28"/>
          <w:sz w:val="20"/>
        </w:rPr>
        <w:t>Newell Brands is a global consumer goods company with a portfolio of iconic brands including Rubbermaid, Sharpie, Graco, Coleman, Yankee Candle, Paper Mate, and Elmer's. The company operates across Home &amp; Commercial Solutions, Learning &amp; Development, and Outdoor &amp; Recreation segments.</w:t>
      </w:r>
    </w:p>
    <w:p>
      <w:r>
        <w:rPr>
          <w:rFonts w:ascii="Calibri" w:hAnsi="Calibri"/>
          <w:b/>
          <w:color w:val="6E8450"/>
          <w:sz w:val="18"/>
        </w:rPr>
        <w:t>25,000 Employees · https://www.newellbrands.com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Newell has been in turnaround mode since 2023, with revenue declining from $9.5B (2022) to $7.2B (2025), a 24% contraction [1]. The company is launching nostalgic product revamps and 25 new innovations for 2026, but these are incremental brand refreshes, not transformative pivots. AI Deployment (2/2): Newell is aggressively deploying AI through its InnoGEN innovation platform (compressing concept-to-validation from weeks to days), AI Insights Hub (iHub) for market research, and digital consumer personas that reduced research staffing from '25 people over two weeks to two people in three hours' [3]. The global productivity plan expects $110-130M savings enabled partly by AI and automation [3]. Market Share (0/2): Newell is losing market share across multiple categories — revenue has declined for three consecutive years and core sales guidance for 2026 is still negative (-2% to flat) [1]. No evidence of category leadership or share gains. Pipeline (1/2): 25 new product innovations planned for 2026 with increased A&amp;P spending, but no specific transformative products named with revenue visibility [1]. R&amp;D Intensity (0/1): No evidence of above-average R&amp;D spending relative to consumer goods peers; the company is cutting costs, not investing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Newell states it is 'laser-focused on building a winning, high-performance culture' — a generic corporate statement that could apply to any company and articulates no purpose beyond business performance [3]. Community Impact (1/2): Newell's Chesapeake Bay Fragrance partnership with Keep America Beautiful for shoreline protection is a positive but modest initiative; the company employs ~25,000 after cutting 900+ positions in the productivity plan [4]. Employee Retention (0/2): Glassdoor rating of 3.3/5 with only 31% positive business outlook and 47% recommendation rate signals deeply troubled culture [3]. Reviews describe 'toxic' and 'non-existent' culture, 'untrustworthy leadership at all levels,' and employees afraid to share feedback [3]. Insider Buying (1/2): CEO Chris Peterson's $12.39M compensation is above average for the company's size, with stock-based incentives aligning interests, but no evidence of significant net insider purchasing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Newell's financial profile reflects a company in deep turnaround distress. D/E of 226.5% is heavily leveraged for a consumer goods company (target ≤70%) [5]. ROE of -11.1% reflects ongoing net losses — FY2025 GAAP net loss was $285M including $340M tradename impairment [1]. Revenue declined 5.0% in 2025 to $7.2B with 3yr CAGR of -8.7%, a sustained contraction [1]. Forward P/E of 5.1x is optically cheap but reflects market skepticism about earnings sustainability [5]. Profit margin of -4.0% is negative, dragged by impairments and restructuring charges [1]. The dividend yield of 8.2% is unsustainable at a 196% payout ratio — the company is paying dividends from debt, not earnings [5]. Normalized operating margin improved to 8.4% with 2026 guidance of 8.6-9.2%, but GAAP losses persist. Operating cash flow of $264M in 2025 guided to $350-400M in 2026 is the brightest spot [1]. Liquidity cleared: 5.8M avg volume × $3.43 = $19.8M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Newell Brands is playing a deeply finite game — three years of revenue decline, serial restructurings, 900+ layoffs, unsustainable dividend payments from losses, and a culture described as 'toxic' by employees all signal a company optimizing for survival rather than playing to keep playing. The turnaround strategy is necessary but inherently finite in orientation — every decision is about cost-cutting and near-term margin improvement rather than building long-term capability.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Newell's stated purpose of building 'a winning, high-performance culture' is not a Just Cause — it's a description of internal operations with no connection to a better future for customers or society [3]. The company's iconic brands (Sharpie, Rubbermaid, Yankee Candle) could anchor a genuine purpose around making everyday life better, but leadership has not articulated this. Strategic decisions are driven by cost reduction and margin improvement, not a vision of the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picture of organizational distrust — employees describe 'untrustworthy leadership at all levels,' bullying behavior that is tolerated, and a culture where 'people are afraid to share feedback' [3]. The 31% positive business outlook is devastating. The 900+ employee layoffs in the productivity plan and 10% professional workforce reduction further erode trust. Only 47% of employees would recommend working there, and the rating has declined 4% in the past year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Newell competes against Procter &amp; Gamble, Church &amp; Dwight, and private-label brands across multiple categories. CEO Peterson's acknowledgment that Newell is 'behind' in technical areas and AI represents honest competitive assessment [3]. The InnoGEN platform was explicitly designed to close the innovation gap with better-resourced competitors. However, the company's competitive response is more reactive (catching up) than proactive (learning and improving).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Newell has made significant portfolio moves — divesting underperforming brands, reducing China sourcing to under 10%, and restructuring from multiple segments to a more focused portfolio [1]. The AI-enabled productivity plan represents a genuine attempt at operational reinvention. However, these moves feel driven by survival necessity rather than strategic vision, and the core business model of branded consumer goods distribution remains unchanged despite three years of decline.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showed courage in cutting prices up to 15% on Rubbermaid and Graco to stimulate demand rather than protecting margins, accepting near-term pain for volume recovery [1]. The productivity plan's 900+ layoffs, while painful, demonstrate willingness to make hard decisions. However, maintaining an unsustainable 8.2% dividend during consecutive annual losses suggests leadership lacks the courage to reset shareholder expectations by cutting the dividend to strengthen the balance sheet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Newell Brands is a deep turnaround story trading at 5.1x forward P/E with a portfolio of iconic consumer brands (Sharpie, Rubbermaid, Graco, Yankee Candle) that retain significant consumer recognition despite three years of revenue decline [1]. The 2026 outlook guides toward stabilization: net sales flat to -1%, normalized operating margin of 8.6-9.2% (up from 8.4%), and operating cash flow of $350-400M (up 40% at midpoint) [1]. The $110-130M productivity savings from the global plan, partly enabled by AI-driven automation, could provide meaningful margin expansion [3]. The InnoGEN AI innovation platform and 25 new product launches for 2026 represent the first credible product pipeline in several years [3]. At $3.43 per share and a $1.46B market cap, the stock prices in significant pessimism — any stabilization in core sales could drive material upside from deeply depressed levels.</w:t>
      </w:r>
    </w:p>
    <w:p>
      <w:pPr>
        <w:spacing w:after="120"/>
      </w:pPr>
      <w:r>
        <w:rPr>
          <w:rFonts w:ascii="Calibri" w:hAnsi="Calibri"/>
          <w:b w:val="0"/>
          <w:color w:val="3A4A28"/>
          <w:sz w:val="20"/>
        </w:rPr>
        <w:t>The bear case is severe: Newell has posted three consecutive years of revenue decline (from $9.5B to $7.2B), GAAP net losses persist ($285M in 2025 including $340M impairment), and the dividend is being paid from debt with a 196% payout ratio [1][5]. D/E of 226% creates real balance sheet risk if the turnaround stalls. Q1 2026 guidance of -$0.08 to -$0.12 EPS (far below Street expectations of -$0.03) suggests the recovery will be slower than hoped [1]. Employee morale is critically low — 31% positive business outlook on Glassdoor and descriptions of 'toxic' culture raise execution risk on any turnaround strategy [3]. The 900+ layoffs may save costs but further hollow out organizational capability. Consumer weakness and tariff exposure ($114M impact in 2025) create headwinds beyond management's control. Dividend sustainability is the immediate concern — a cut appears inevitable given the payout ratio, which would remove the primary reason yield-seeking investors own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25 new product innovations launching in 2026 combined with increased A&amp;P spending, potentially stabilizing core sales for the first time in three years [1]</w:t>
      </w:r>
    </w:p>
    <w:p>
      <w:pPr>
        <w:spacing w:before="40" w:after="40"/>
        <w:ind w:left="283"/>
      </w:pPr>
      <w:r>
        <w:rPr>
          <w:rFonts w:ascii="Calibri" w:hAnsi="Calibri"/>
          <w:b/>
          <w:color w:val="4A6B25"/>
          <w:sz w:val="20"/>
        </w:rPr>
        <w:t xml:space="preserve">2. </w:t>
      </w:r>
      <w:r>
        <w:rPr>
          <w:rFonts w:ascii="Calibri" w:hAnsi="Calibri"/>
          <w:b w:val="0"/>
          <w:color w:val="3A4A28"/>
          <w:sz w:val="20"/>
        </w:rPr>
        <w:t>Global productivity plan delivering $110-130M in cost savings through AI, automation, and 900+ headcount reductions, driving normalized operating margin toward 8.6-9.2% [1][3]</w:t>
      </w:r>
    </w:p>
    <w:p>
      <w:pPr>
        <w:spacing w:before="40" w:after="40"/>
        <w:ind w:left="283"/>
      </w:pPr>
      <w:r>
        <w:rPr>
          <w:rFonts w:ascii="Calibri" w:hAnsi="Calibri"/>
          <w:b/>
          <w:color w:val="4A6B25"/>
          <w:sz w:val="20"/>
        </w:rPr>
        <w:t xml:space="preserve">3. </w:t>
      </w:r>
      <w:r>
        <w:rPr>
          <w:rFonts w:ascii="Calibri" w:hAnsi="Calibri"/>
          <w:b w:val="0"/>
          <w:color w:val="3A4A28"/>
          <w:sz w:val="20"/>
        </w:rPr>
        <w:t>Operating cash flow growth to $350-400M in 2026 (up ~40%) could reduce leverage and improve balance sheet flexibility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8.2% dividend yield at 196% payout ratio — a dividend cut appears inevitable and would remove the primary attraction for income investors [5]</w:t>
      </w:r>
    </w:p>
    <w:p>
      <w:pPr>
        <w:spacing w:before="40" w:after="40"/>
        <w:ind w:left="283"/>
      </w:pPr>
      <w:r>
        <w:rPr>
          <w:rFonts w:ascii="Calibri" w:hAnsi="Calibri"/>
          <w:b/>
          <w:color w:val="4A6B25"/>
          <w:sz w:val="20"/>
        </w:rPr>
        <w:t xml:space="preserve">2. </w:t>
      </w:r>
      <w:r>
        <w:rPr>
          <w:rFonts w:ascii="Calibri" w:hAnsi="Calibri"/>
          <w:b w:val="0"/>
          <w:color w:val="3A4A28"/>
          <w:sz w:val="20"/>
        </w:rPr>
        <w:t>Three consecutive years of revenue decline with Q1 2026 guided materially below expectations (-$0.08 to -$0.12 EPS vs. -$0.03 consensus), signaling continued demand weakness [1]</w:t>
      </w:r>
    </w:p>
    <w:p>
      <w:pPr>
        <w:spacing w:before="40" w:after="40"/>
        <w:ind w:left="283"/>
      </w:pPr>
      <w:r>
        <w:rPr>
          <w:rFonts w:ascii="Calibri" w:hAnsi="Calibri"/>
          <w:b/>
          <w:color w:val="4A6B25"/>
          <w:sz w:val="20"/>
        </w:rPr>
        <w:t xml:space="preserve">3. </w:t>
      </w:r>
      <w:r>
        <w:rPr>
          <w:rFonts w:ascii="Calibri" w:hAnsi="Calibri"/>
          <w:b w:val="0"/>
          <w:color w:val="3A4A28"/>
          <w:sz w:val="20"/>
        </w:rPr>
        <w:t>D/E of 226% creates acute balance sheet risk — any further revenue deterioration or failed turnaround could trigger credit concerns on $6B+ in debt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Newell's core business — manufacturing and distributing physical consumer products like Sharpie pens, Rubbermaid containers, and Graco strollers — involves tangible goods that AI cannot directly replace [3]. However, AI-powered e-commerce and private label optimization by retailers like Amazon threatens Newell's brand premiums and distribution power. AI-driven consumer insights tools could commoditize marketing advantages that branded consumer goods companies historically relied upon. The retail channel itself faces AI-driven efficiency demands that pressure supplier margins. AI Opportunity (1/1): Newell is generating measurable value from AI through InnoGEN (concept-to-validation in days vs. weeks), digital consumer personas (25-person team's work done by 2 people in 3 hours), and the $110-130M productivity savings enabled by AI/automation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Newell Brands Q4 2025 and FY2025 Earnings Release — $7.2B revenue, $285M net loss, 2026 guidance, February 6, 2026</w:t>
      </w:r>
    </w:p>
    <w:p>
      <w:pPr>
        <w:spacing w:before="20" w:after="20"/>
        <w:ind w:left="170"/>
      </w:pPr>
      <w:r>
        <w:rPr>
          <w:rFonts w:ascii="Calibri" w:hAnsi="Calibri"/>
          <w:b/>
          <w:color w:val="4A6B25"/>
          <w:sz w:val="15"/>
        </w:rPr>
        <w:t xml:space="preserve">2. </w:t>
      </w:r>
      <w:r>
        <w:rPr>
          <w:rFonts w:ascii="Calibri" w:hAnsi="Calibri"/>
          <w:b w:val="0"/>
          <w:color w:val="3A4A28"/>
          <w:sz w:val="17"/>
        </w:rPr>
        <w:t>Newell Brands CAGNY 2026 Presentation — strategic turnaround with AI focus, product innovation pipeline</w:t>
      </w:r>
    </w:p>
    <w:p>
      <w:pPr>
        <w:spacing w:before="20" w:after="20"/>
        <w:ind w:left="170"/>
      </w:pPr>
      <w:r>
        <w:rPr>
          <w:rFonts w:ascii="Calibri" w:hAnsi="Calibri"/>
          <w:b/>
          <w:color w:val="4A6B25"/>
          <w:sz w:val="15"/>
        </w:rPr>
        <w:t xml:space="preserve">3. </w:t>
      </w:r>
      <w:r>
        <w:rPr>
          <w:rFonts w:ascii="Calibri" w:hAnsi="Calibri"/>
          <w:b w:val="0"/>
          <w:color w:val="3A4A28"/>
          <w:sz w:val="17"/>
        </w:rPr>
        <w:t>Newell Brands AI Strategy — InnoGEN platform, iHub, digital consumer personas, $110-130M productivity savings, Consumer Goods Technology and Chief Marketer, 2025-2026</w:t>
      </w:r>
    </w:p>
    <w:p>
      <w:pPr>
        <w:spacing w:before="20" w:after="20"/>
        <w:ind w:left="170"/>
      </w:pPr>
      <w:r>
        <w:rPr>
          <w:rFonts w:ascii="Calibri" w:hAnsi="Calibri"/>
          <w:b/>
          <w:color w:val="4A6B25"/>
          <w:sz w:val="15"/>
        </w:rPr>
        <w:t xml:space="preserve">4. </w:t>
      </w:r>
      <w:r>
        <w:rPr>
          <w:rFonts w:ascii="Calibri" w:hAnsi="Calibri"/>
          <w:b w:val="0"/>
          <w:color w:val="3A4A28"/>
          <w:sz w:val="17"/>
        </w:rPr>
        <w:t>Newell Brands ESG — Sustainalytics moderate controversy rating, environmental performance concerns, Corporate Citizenship Report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NWL (Newell Brands), retrieved March 30, 2026</w:t>
      </w:r>
    </w:p>
    <w:p>
      <w:pPr>
        <w:spacing w:before="20" w:after="20"/>
        <w:ind w:left="170"/>
      </w:pPr>
      <w:r>
        <w:rPr>
          <w:rFonts w:ascii="Calibri" w:hAnsi="Calibri"/>
          <w:b/>
          <w:color w:val="4A6B25"/>
          <w:sz w:val="15"/>
        </w:rPr>
        <w:t xml:space="preserve">6. </w:t>
      </w:r>
      <w:r>
        <w:rPr>
          <w:rFonts w:ascii="Calibri" w:hAnsi="Calibri"/>
          <w:b w:val="0"/>
          <w:color w:val="3A4A28"/>
          <w:sz w:val="17"/>
        </w:rPr>
        <w:t>Glassdoor Newell Brands Reviews — 3.3/5 across 2,259 reviews, 31% positive business outlook,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