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NWS</w:t>
      </w:r>
      <w:r>
        <w:rPr>
          <w:rFonts w:ascii="Calibri" w:hAnsi="Calibri"/>
          <w:b/>
          <w:color w:val="1A2010"/>
          <w:sz w:val="40"/>
        </w:rPr>
        <w:t xml:space="preserve">  News Corporation</w:t>
      </w:r>
    </w:p>
    <w:p>
      <w:pPr>
        <w:spacing w:after="120"/>
      </w:pPr>
      <w:r>
        <w:rPr>
          <w:rFonts w:ascii="Calibri" w:hAnsi="Calibri"/>
          <w:b/>
          <w:color w:val="6E8450"/>
          <w:sz w:val="18"/>
        </w:rPr>
        <w:t>GROWTH SLEEVE · 2026-04-29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News Corporation is a diversified media and information services company operating through five segments: Digital Real Estate Services (REA Group, Move), Dow Jones (Wall Street Journal, Barron's, MarketWatch, Factiva), Book Publishing (HarperCollins), News Media (The Times, New York Post, The Australian), and Other (Storyful).</w:t>
      </w:r>
    </w:p>
    <w:p>
      <w:r>
        <w:rPr>
          <w:rFonts w:ascii="Calibri" w:hAnsi="Calibri"/>
          <w:b/>
          <w:color w:val="6E8450"/>
          <w:sz w:val="18"/>
        </w:rPr>
        <w:t>22,300 Employees · https://newscorp.com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News Corp has executed a significant digital transformation — digital revenue now exceeds 50% of total revenue, and Dow Jones digital subscriptions have grown consistently, while HarperCollins achieved record quarterly revenue of $633M in Q2 FY2026 driven by the 'Heated Rivalry' publishing phenomenon [1]. The Move/Realtor.com digital real estate platform and REA Group represent successful diversification beyond traditional media. AI Deployment (1/2): News Corp has partnered with OpenAI for content licensing and AI integration, positioning its premium content assets (Wall Street Journal, Dow Jones data) as AI training inputs with measurable revenue implications [2]. Market Share (1/2): Wall Street Journal and Barron's maintain leadership positions in business news, REA Group dominates Australian property listings, and HarperCollins is one of the 'Big Five' global publishers [1]. Product Pipeline (1/2): The OpenAI content partnership and AI-driven data products at Dow Jones represent tangible next-generation revenue streams, though specific launch dates and revenue targets remain vague [2]. R&amp;D Intensity (1/1): Investments in digital platforms, AI partnerships, and data analytics capabilities position News Corp above traditional media peers in technology adoption.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News Corp's stated purpose centers on creating and distributing 'authoritative and engaging content' — a clear articulation of what the company does but not a distinctive vision of a future state it's building toward. The company's identity is defined more by the Murdoch family legacy than by a transcendent mission [3]. Community Impact (1/2): News Corp's journalism brands provide significant public service through investigative reporting and financial information access, though corporate philanthropy programs are not prominently featured in public disclosures [4]. Employee Retention (1/2): Glassdoor rating of 3.4/5 with 69% recommending to a friend is adequate for the media industry, though reviews cite mixed sentiments about culture and management quality. Some employees describe 'toxic culture' while others praise innovation opportunities [3]. Insider Buying (1/2): The Murdoch family's continued controlling stake represents significant insider alignment, though this reflects legacy ownership rather than recent open-market purchases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News Corp's balance sheet is conservatively managed with a D/E ratio of 30.9%, well below the 70% target, providing financial flexibility [6]. However, growth metrics are weak: the 3-year revenue CAGR of -6.6% reflects the 2023 divestitures and restructuring that reduced the revenue base from $10.4B to $8.5B, and the PEG ratio of 3.53 exceeds the floor, indicating the market sees limited growth potential relative to the 24x forward P/E valuation [6]. ROE of 6.3% is below the 15% target, and while profit margin improved to 13.3%, it still falls short of the 20% target. The Q2 FY2026 revenue beat ($2.36B vs. $2.3B expected) with 6% YoY growth suggests stabilization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News Corp exhibits mixed infinite game qualities. The Murdoch family's multi-generational media empire reflects long-term orientation, and the company has demonstrated strategic adaptability through digital transformation. However, the controlling family structure creates governance concentration, and competitive language around 'reclaiming' market position reflects finite game thinking. CEO Robert Thomson's extended tenure through 2030 provides leadership continuity but also concentration risk [2][3].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News Corp's implicit cause — the belief that authoritative, professional journalism and quality content serve a vital societal function — has endured across the company's multi-decade history and survived the digital disruption that destroyed many legacy media companies [1]. The Wall Street Journal, The Times of London, and other mastheads represent institutions with purposes beyond quarterly earnings. However, the Murdoch family's editorial influence and the tension between journalism and commercial interests prevent this from reaching transformative status.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organizational trust with notable concerns. Glassdoor's 3.4/5 rating is below average for large media companies, and reviews cite management quality issues and cultural challenges [3]. However, CEO Robert Thomson's 12+ year tenure and the stability of senior leadership across divisions provides continuity. The 22,300-employee organization spans diverse geographies and business lines, making unified culture difficult. The dual-class share structure concentrating control with the Murdoch family creates an inherent power asymmetry.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News Corp's competitive positioning demonstrates infinite mindset characteristics — the OpenAI partnership acknowledges AI companies' strengths in content distribution while leveraging News Corp's content creation strengths. Management frames digital transformation as an opportunity to improve rather than a war to win against tech platforms [2]. CEO Thomson has positioned the company as partnering with AI rather than fighting it.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News Corp has meaningfully evolved from a print-focused newspaper company to a diversified digital media and information services business. Digital revenue now exceeds 50% of total revenue, and the acquisition of Investor's Business Daily and the build-out of digital real estate services (REA Group, Move) represent strategic diversification [1][2]. However, these are incremental extensions of the core content business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News Corp's decision to license content to OpenAI — rather than joining the chorus of media companies suing AI firms — demonstrated strategic pragmatism and willingness to embrace a potentially threatening technology on favorable terms [2]. The ongoing investment in digital transformation during a period of industry-wide media decline shows long-term orientation. However, the company has not made the kind of dramatic, costly strategic pivot that characterizes top courage scores.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News Corp offers a diversified media portfolio at a reasonable valuation ($16.5B market cap) anchored by the Wall Street Journal/Dow Jones franchise, REA Group's dominant Australian real estate platform, and HarperCollins' record publishing results [1]. The OpenAI content licensing partnership creates a new AI-driven revenue stream, and the digital transformation (50%+ digital revenue) positions the company to monetize its premium content assets in an AI-first media landscape. Q2 FY2026 revenue beat estimates at $2.36B with 6% YoY growth, showing operational momentum [1].</w:t>
      </w:r>
    </w:p>
    <w:p>
      <w:pPr>
        <w:spacing w:after="120"/>
      </w:pPr>
      <w:r>
        <w:rPr>
          <w:rFonts w:ascii="Calibri" w:hAnsi="Calibri"/>
          <w:b w:val="0"/>
          <w:color w:val="3A4A28"/>
          <w:sz w:val="20"/>
        </w:rPr>
        <w:t>The bear case rests on structural media industry decline: 3-year revenue CAGR of -6.6% (partly due to divestitures) reflects a shrinking legacy business, while the 24x forward P/E and 3.53 PEG ratio suggest the market already prices in recovery that may not materialize [6]. AI-generated content poses an existential threat to traditional journalism economics, as AI search summaries reduce website traffic and advertisers shift budgets to AI-powered platforms. The Murdoch family's controlling stake creates governance risk, and the 0.66% dividend yield provides minimal income support. At 6.3% ROE, the company is not generating adequate returns on invested capital to justify its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OpenAI content licensing revenue scaling and potential expansion to additional AI platform partnerships, monetizing News Corp's proprietary data and journalism assets</w:t>
      </w:r>
    </w:p>
    <w:p>
      <w:pPr>
        <w:spacing w:before="40" w:after="40"/>
        <w:ind w:left="283"/>
      </w:pPr>
      <w:r>
        <w:rPr>
          <w:rFonts w:ascii="Calibri" w:hAnsi="Calibri"/>
          <w:b/>
          <w:color w:val="4A6B25"/>
          <w:sz w:val="20"/>
        </w:rPr>
        <w:t xml:space="preserve">2. </w:t>
      </w:r>
      <w:r>
        <w:rPr>
          <w:rFonts w:ascii="Calibri" w:hAnsi="Calibri"/>
          <w:b w:val="0"/>
          <w:color w:val="3A4A28"/>
          <w:sz w:val="20"/>
        </w:rPr>
        <w:t>HarperCollins maintaining record revenue momentum as publishing benefits from social media-driven book discovery and the 'Heated Rivalry' franchise success</w:t>
      </w:r>
    </w:p>
    <w:p>
      <w:pPr>
        <w:spacing w:before="40" w:after="40"/>
        <w:ind w:left="283"/>
      </w:pPr>
      <w:r>
        <w:rPr>
          <w:rFonts w:ascii="Calibri" w:hAnsi="Calibri"/>
          <w:b/>
          <w:color w:val="4A6B25"/>
          <w:sz w:val="20"/>
        </w:rPr>
        <w:t xml:space="preserve">3. </w:t>
      </w:r>
      <w:r>
        <w:rPr>
          <w:rFonts w:ascii="Calibri" w:hAnsi="Calibri"/>
          <w:b w:val="0"/>
          <w:color w:val="3A4A28"/>
          <w:sz w:val="20"/>
        </w:rPr>
        <w:t>Dow Jones digital subscription growth accelerating as Wall Street Journal and Barron's expand international reach and AI-enhanced data analytics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AI-generated content and AI search summaries (Google AI Overviews, ChatGPT) cannibalizing website traffic and undermining the advertising and subscription model that funds professional journalism</w:t>
      </w:r>
    </w:p>
    <w:p>
      <w:pPr>
        <w:spacing w:before="40" w:after="40"/>
        <w:ind w:left="283"/>
      </w:pPr>
      <w:r>
        <w:rPr>
          <w:rFonts w:ascii="Calibri" w:hAnsi="Calibri"/>
          <w:b/>
          <w:color w:val="4A6B25"/>
          <w:sz w:val="20"/>
        </w:rPr>
        <w:t xml:space="preserve">2. </w:t>
      </w:r>
      <w:r>
        <w:rPr>
          <w:rFonts w:ascii="Calibri" w:hAnsi="Calibri"/>
          <w:b w:val="0"/>
          <w:color w:val="3A4A28"/>
          <w:sz w:val="20"/>
        </w:rPr>
        <w:t>Murdoch family succession and governance concentration creating strategic uncertainty, with the dual-class share structure limiting minority shareholder influence</w:t>
      </w:r>
    </w:p>
    <w:p>
      <w:pPr>
        <w:spacing w:before="40" w:after="40"/>
        <w:ind w:left="283"/>
      </w:pPr>
      <w:r>
        <w:rPr>
          <w:rFonts w:ascii="Calibri" w:hAnsi="Calibri"/>
          <w:b/>
          <w:color w:val="4A6B25"/>
          <w:sz w:val="20"/>
        </w:rPr>
        <w:t xml:space="preserve">3. </w:t>
      </w:r>
      <w:r>
        <w:rPr>
          <w:rFonts w:ascii="Calibri" w:hAnsi="Calibri"/>
          <w:b w:val="0"/>
          <w:color w:val="3A4A28"/>
          <w:sz w:val="20"/>
        </w:rPr>
        <w:t>Structural decline in print media and traditional advertising accelerating faster than digital revenue growth can offset, particularly in the News Media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News Corp faces meaningful AI disruption risk across its media and publishing segments. AI-generated content threatens traditional journalism economics, while AI search summaries (Google AI Overviews, ChatGPT) reduce click-through traffic to news websites, directly pressuring digital advertising and subscription growth [2]. HarperCollins faces AI-generated book competition and potential disintermediation of traditional publishing. However, News Corp's premium data assets (Factiva, Dow Jones Newswires, WSJ) have defensible value as AI training data, and the company has proactively monetized this through its OpenAI licensing deal. AI Opportunity (1/1): News Corp is generating measurable AI revenue through its content licensing partnership with OpenAI, which pays for access to News Corp's premium journalism and data corpus for AI model training. The Dow Jones data and analytics division is well-positioned to sell AI-enhanced financial intelligence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News Corp Q2 FY2026 Earnings Release — record HarperCollins revenue of $633M, 6% YoY revenue growth to $2.36B, February 2026</w:t>
      </w:r>
    </w:p>
    <w:p>
      <w:pPr>
        <w:spacing w:before="20" w:after="20"/>
        <w:ind w:left="170"/>
      </w:pPr>
      <w:r>
        <w:rPr>
          <w:rFonts w:ascii="Calibri" w:hAnsi="Calibri"/>
          <w:b/>
          <w:color w:val="4A6B25"/>
          <w:sz w:val="15"/>
        </w:rPr>
        <w:t xml:space="preserve">2. </w:t>
      </w:r>
      <w:r>
        <w:rPr>
          <w:rFonts w:ascii="Calibri" w:hAnsi="Calibri"/>
          <w:b w:val="0"/>
          <w:color w:val="3A4A28"/>
          <w:sz w:val="17"/>
        </w:rPr>
        <w:t>AInvest — 'News Corp's Digital Transformation Fuels Long-Term Growth Under Extended Leadership',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News Corp employee reviews (3.4/5, 993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 News Corp ESG Risk Rating,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News Corp corporate website — company overview and segment reporting,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NWS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