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NXE</w:t>
      </w:r>
      <w:r>
        <w:rPr>
          <w:rFonts w:ascii="Calibri" w:hAnsi="Calibri"/>
          <w:b/>
          <w:color w:val="1A2010"/>
          <w:sz w:val="40"/>
        </w:rPr>
        <w:t xml:space="preserve">  NexGen Energy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2026-03-27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Uranium · NYSE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NexGen Energy is an exploration and development stage uranium company with a 100% interest in the Rook I Project in Saskatchewan's Athabasca Basin. The project hosts the Arrow Deposit, containing 257 million pounds of uranium, and is positioned to become the world's largest low-cost uranium mine with production capacity of up to 30 million pounds annually.</w:t>
      </w:r>
    </w:p>
    <w:p>
      <w:r>
        <w:rPr>
          <w:rFonts w:ascii="Calibri" w:hAnsi="Calibri"/>
          <w:b/>
          <w:color w:val="6E8450"/>
          <w:sz w:val="18"/>
        </w:rPr>
        <w:t>142 Employees · https://www.nexgenenergy.ca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NexGen discovered the Arrow Deposit in 2014 and has systematically advanced it through exploration, feasibility, environmental assessment, and now construction licensing — a methodical but genuinely world-class resource development achievement [1]. AI Deployment (0/2): No evidence of AI deployment in exploration, engineering, or operations — typical for a pre-construction mining company [1]. Market Share Leadership (2/2): The Arrow Deposit's 257 million pounds at 3.10% grade makes it the highest-grade undeveloped uranium deposit globally, with potential to supply 20%+ of current global uranium demand [1]. Product Pipeline (1/2): Construction is set to begin summer 2026 with a 4-year build schedule, and the Nelligan exploration property adds future optionality, though production is ~4 years away [1]. R&amp;D Intensity (0/1): Not applicable — NexGen is a mining development company without traditional R&amp;D spend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NexGen positions itself as delivering 'clean energy solutions' through uranium production for nuclear power, connecting mining to decarbonization goals, though the mission articulation is commercially focused [2]. Community Impact (2/2): Extensive Indigenous community engagement with Treaty 8 First Nations and Metis communities, including the Federal Indigenous Review Team consultation process, and an estimated $288.5M annual government payments to Saskatchewan [2]. Employee Retention (1/2): With only 142 employees, the team is specialized and technically focused; CEO Leigh Curyer provides consistent leadership but retention data is unavailable [1]. Insider Buying (0/2): Recent $950M equity offering represents significant dilution rather than insider conviction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NexGen is a pre-revenue company with no earnings — ROE is -20.6%, profit margin is 0%, and forward P/E is deeply negative at -130 [1]. D/E of 32.4% is manageable but the company recently raised C$950M through equity dilution [1]. The full-year 2025 net loss widened to C$309.7M from C$77.6M, and no revenue is expected until production begins around 2030 [1]. Liquidity floor passes with daily dollar volume of ~$101M. P/B of 13.1x is extremely expensive versus mining peers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NexGen's patient multi-year development approach and commitment to ESG excellence in uranium mining demonstrate infinite-game characteristics, but the pre-revenue reality and dependence on external capital create finite-game survival pressures.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Developing the world's largest low-cost uranium mine to supply clean nuclear energy and support global decarbonization represents a meaningful cause that extends beyond shareholder returns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142 employees, the team is necessarily specialized and lean; the Indigenous community engagement process demonstrates stakeholder trust-building, but workforce will need to scale dramatically for construction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NexGen competes for capital and market positioning against Cameco, Kazatomprom, and other uranium developers, but its deposit quality provides a natural advantage that reduces direct rivalry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Côté-style phased approach and exploration of the Nelligan property show strategic optionality thinking, though the company remains fundamentally a single-asset play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Making the Final Investment Decision on a $4.4B+ project and proceeding to construction despite uranium market volatility requires substantial conviction and strategic courage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NexGen holds the world's highest-grade undeveloped uranium deposit with potential to supply 20%+ of global demand at lowest-quartile costs, positioning it at the center of the nuclear energy renaissance driven by AI data center power demand and decarbonization goals [1]. The Rook I Project received all regulatory approvals and construction begins summer 2026, de-risking the permitting phase that historically derails mining projects. DCF models suggest fair value of ~C$68.70 per share versus the current ~$11, representing massive theoretical upside if execution proceeds on schedule. The uranium supply-demand imbalance is structural and widening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NexGen is a pre-revenue, pre-construction company burning significant capital — the 2025 net loss was C$309.7M and no revenue is expected until ~2030 [1]. The C$950M equity raise has diluted shareholders significantly, and the 13.1x P/B ratio prices in substantial future value that assumes flawless construction execution over 4 years. Uranium price volatility could undermine project economics, and a global nuclear policy reversal would be devastating. The stock trades at -130x forward P/E and offers no cash flow support for the current $7.3B market cap — this is a pure conviction play on uranium fundamentals and management execution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Construction commencement at Rook I in summer 2026 would mark the transition from development to execution, the most significant de-risking event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Uranium contract signings at favorable long-term prices would provide revenue visibility and validate project economics ahead of production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Rising global nuclear power commitments and AI data center electricity demand could tighten uranium supply-demand further, supporting prices above $100/lb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4-year construction timeline carries significant execution risk including cost overruns, supply chain disruptions, and potential permitting complications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C$950M equity dilution and potential additional capital needs could significantly reduce per-share value before production revenue materializes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Uranium price volatility or a shift in nuclear energy policy could undermine project economics at any point during the 4-year construction period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Uranium mining is an inherently physical, capital-intensive, and heavily regulated activity that AI cannot displace [1]. The commodity nature of uranium production, long project development timelines, and regulatory barriers create near-impenetrable defensive moats. AI Opportunity (0/1): NexGen has not disclosed AI-driven mining optimization or exploration tools, which is typical for a pre-construction development company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NexGen Energy Full Year 2025 Results and Rook I Update,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Canadian Nuclear Safety Commission — Rook I Environmental Assessment and Construction Licence,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NXE key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NexGen Energy Investor Relations,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