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OBDC</w:t>
      </w:r>
      <w:r>
        <w:rPr>
          <w:rFonts w:ascii="Calibri" w:hAnsi="Calibri"/>
          <w:b/>
          <w:color w:val="1A2010"/>
          <w:sz w:val="40"/>
        </w:rPr>
        <w:t xml:space="preserve">  Blue Owl Capital Corporation</w:t>
      </w:r>
    </w:p>
    <w:p>
      <w:pPr>
        <w:spacing w:after="120"/>
      </w:pPr>
      <w:r>
        <w:rPr>
          <w:rFonts w:ascii="Calibri" w:hAnsi="Calibri"/>
          <w:b/>
          <w:color w:val="6E8450"/>
          <w:sz w:val="18"/>
        </w:rPr>
        <w:t>DIVIDEND SLEEVE · 2026-03-30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Blue Owl Capital Corporation is a business development company (BDC) focused on direct lending to U.S. middle-market and upper-middle-market companies with EBITDA between $10M-$250M. As of December 31, 2025, the portfolio consisted of 234 companies with $16.5B aggregate fair value. Externally managed by Blue Owl Capital's Credit platform, which has ~$157.8B AUM.</w:t>
      </w:r>
    </w:p>
    <w:p>
      <w:r>
        <w:rPr>
          <w:rFonts w:ascii="Calibri" w:hAnsi="Calibri"/>
          <w:b/>
          <w:color w:val="6E8450"/>
          <w:sz w:val="18"/>
        </w:rPr>
        <w:t>https://www.blueowlcapitalcorporation.com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OBDC has grown its portfolio from inception in 2016 to $16.5B in fair value across 234 companies, becoming the third-largest publicly traded BDC [1]. The January 2024 merger with Blue Owl Capital Corporation II expanded scale, though this was consolidation rather than product innovation. AI Deployment (0/2): No evidence of AI-powered products or quantifiable AI-driven efficiency gains in the lending or portfolio management process. BDC operations remain relationship-driven with traditional credit underwriting [2]. Market Share (1/2): OBDC is the third-largest publicly traded BDC, and Blue Owl's Credit platform manages ~$157.8B AUM, making it a meaningful player in direct lending [2]. The highly selective process (5% close rate on 11,000+ opportunities evaluated) demonstrates competitive positioning. Pipeline (1/2): The $684M in new Q4 2025 investment commitments and $1.4B opportunistic asset sale to pension and insurance investors demonstrate active deal flow [1]. Technology-focused BDC strategies provide additional growth vectors. R&amp;D Intensity (1/1): While BDCs don't have traditional R&amp;D, Blue Owl invests significantly in credit analysis capabilities, proprietary deal sourcing, and portfolio monitoring infrastructure relative to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Blue Owl's stated commitment to 'fostering long-term, win-win relationships across every facet of our business' is clear but not distinctive — it's a standard financial services mission that could apply to any lending institution [2]. The focus on certainty, speed, and transparency for borrowers is professional but not inspiring beyond the industry norm. Community Impact (1/2): Blue Owl's sustainability page indicates commitment to being 'a positive force in society' and incorporating ESG factors into investment practices, but no specific charitable programs or community investment dollar amounts were found [3]. Employee Retention (1/2): The founding team of Ostrover, Lipschultz, and Packer has remained intact since 2016, and the culture emphasizes 'transparency and initiative' [2]. However, as an externally managed BDC with no disclosed employee count, broader retention data is unavailable. Insider Buying (1/2): The Board authorized a $300M stock repurchase program in February 2026, replacing the prior $200M authorization, with $148M already repurchased at 86% of book value — a strong signal of insider conviction in NAV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OBDC passes the liquidity floor (6.2M avg volume × $10.92 = $67.7M daily liquidity) [5]. Forward P/E of 8.3x is attractive for a BDC generating 33.9% profit margins on $1.85B total revenue (both scoring 1.0) [5]. Revenue growth of 13.5% YoY also scores well [5]. However, D/E of 125.7% reflects BDC leverage norms but scores moderately (0.76) [5]. ROE of 9.4% is below the 15% target (score 0.63) [5]. The dividend profile is mixed: 13.9% yield and ~6 consecutive years paid (score 0.6 at 2x weight), but payout ratio of 125.8% exceeds the 100% floor (score 0), recent 1-year dividend growth is negative at -10.65% (score 0), and 5yr dividend growth CAGR is negligible (score 0 at 2x weight) [1][5]. Non-accruals improved to 2.3%/1.1% (cost/fair value), and the Moody's upgrade to Baa2 validates credit quality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Blue Owl Capital Corporation operates with a long-term orientation inherent to direct lending (3-10 year loan maturities) and emphasizes 'win-win relationships' and capital preservation. However, the OBDC II governance controversy — suspending redemptions, collecting fees during the freeze, and the failed merger attempt — reveals finite game behavior where management prioritized fee income over investor outcomes. The founding team's stability is a positive signal, but the BDC structure as an externally managed vehicle creates inherent fee conflicts.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Blue Owl's stated purpose — providing direct lending solutions with certainty, speed, and transparency to middle-market companies — is functional but lacks a transformative vision [2]. The commitment to 'win-win relationships' is professional but generic. The real cause appears to be building the largest direct lending platform, which is more a business objective than a Just Cause. The founders' success in growing to $157.8B AUM demonstrates execution but not purpose beyond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founding trio (Ostrover, Lipschultz, Packer) has remained intact since 2016, and the culture emphasizes transparency and collaboration [2]. The highly selective 5% deal close rate suggests a disciplined team culture. However, as an externally managed BDC, the team structure creates inherent conflicts between the external manager's fee incentives and shareholder interests — a structural limitation on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OBDC competes against Ares Capital (ARCC), Golub Capital, and other major BDCs and direct lenders. The focus on becoming the 'third-largest publicly traded BDC' and the scale-driven strategy suggest competitive language oriented around size rather than learning from rivals' strengths [2]. The opportunistic $1.4B asset sale to pension funds demonstrates market awareness but is more tactical than reflective of worthy rival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Blue Owl has expanded from a single BDC into multiple vehicles including technology-focused BDCs and has grown its Credit platform to $157.8B AUM [2]. The $1.4B asset sale and $300M buyback authorization show capital allocation flexibility [1]. However, the OBDC II saga — where Blue Owl suspended redemptions rather than allowing investors to exit — suggests rigidity when strategic plans face resistance, prioritizing the platform's growth over individual investor outcomes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$148M stock repurchase at 86% of book value signals conviction in the portfolio's intrinsic value [1]. The Moody's upgrade to Baa2 validates credit discipline [1]. However, the OBDC II governance controversy undermines leadership credibility — continuing to collect incentive fees while redemptions were suspended does not reflect the kind of principled sacrifice Sinek values [3]. Leadership chose to protect fee income over demonstrating alignment with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OBDC is the third-largest publicly traded BDC offering a 13.9% dividend yield backed by a $16.5B portfolio of direct loans to 234 U.S. middle-market companies [1]. The January 2026 Moody's upgrade to Baa2 validates the portfolio's credit quality, while non-accruals improved to 2.3%/1.1% (cost/fair value) [1]. Forward P/E of 8.3x and NAV of $14.81 per share (stock trades at 74% of NAV) create a value proposition for income investors [1][5]. Blue Owl's Credit platform manages $157.8B AUM with a highly selective process (5% close rate on 11,000+ opportunities), and the average LTV of 42% provides meaningful downside protection [2]. The $300M buyback authorization at a 26% discount to NAV is accretive to book value [1]. The Q4 2025 opportunistic asset sale of $400M at ~99.7 cents on the dollar validated portfolio marks [3].</w:t>
      </w:r>
    </w:p>
    <w:p>
      <w:pPr>
        <w:spacing w:after="120"/>
      </w:pPr>
      <w:r>
        <w:rPr>
          <w:rFonts w:ascii="Calibri" w:hAnsi="Calibri"/>
          <w:b w:val="0"/>
          <w:color w:val="3A4A28"/>
          <w:sz w:val="20"/>
        </w:rPr>
        <w:t>The bear case centers on dividend sustainability and governance concerns. The 125.8% payout ratio and -10.65% 1-year dividend decline suggest the current $0.37 quarterly distribution may face further cuts as base rates normalize and supplemental dividends have already been reduced from $0.06 to zero [1][5]. Earnings per share declined 40.9% YoY, with FY2026 consensus EPS of $1.33 representing further compression [1]. The OBDC II saga — suspended redemptions, continued fee collection during the freeze, and the failed NAV-for-NAV merger — raised serious governance questions about Blue Owl's alignment with shareholder interests [3]. Glendon Capital's March 2026 allegations that BDCs including Blue Owl were misrepresenting portfolio loss rates adds credibility risk [3]. As an externally managed BDC, the structural fee conflict between Blue Owl Capital (the manager) and OBDC shareholders is permanent. Rising credit defaults in a slowing economy could pressure the middle-market borrowers that comprise the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Moody's Baa2 upgrade reduces funding costs and expands OBDC's access to investment-grade debt markets, potentially improving net interest margin [1]</w:t>
      </w:r>
    </w:p>
    <w:p>
      <w:pPr>
        <w:spacing w:before="40" w:after="40"/>
        <w:ind w:left="283"/>
      </w:pPr>
      <w:r>
        <w:rPr>
          <w:rFonts w:ascii="Calibri" w:hAnsi="Calibri"/>
          <w:b/>
          <w:color w:val="4A6B25"/>
          <w:sz w:val="20"/>
        </w:rPr>
        <w:t xml:space="preserve">2. </w:t>
      </w:r>
      <w:r>
        <w:rPr>
          <w:rFonts w:ascii="Calibri" w:hAnsi="Calibri"/>
          <w:b w:val="0"/>
          <w:color w:val="3A4A28"/>
          <w:sz w:val="20"/>
        </w:rPr>
        <w:t>$300M share repurchase program at 74% of NAV is directly accretive to book value per share and signals management confidence in portfolio quality [1]</w:t>
      </w:r>
    </w:p>
    <w:p>
      <w:pPr>
        <w:spacing w:before="40" w:after="40"/>
        <w:ind w:left="283"/>
      </w:pPr>
      <w:r>
        <w:rPr>
          <w:rFonts w:ascii="Calibri" w:hAnsi="Calibri"/>
          <w:b/>
          <w:color w:val="4A6B25"/>
          <w:sz w:val="20"/>
        </w:rPr>
        <w:t xml:space="preserve">3. </w:t>
      </w:r>
      <w:r>
        <w:rPr>
          <w:rFonts w:ascii="Calibri" w:hAnsi="Calibri"/>
          <w:b w:val="0"/>
          <w:color w:val="3A4A28"/>
          <w:sz w:val="20"/>
        </w:rPr>
        <w:t>Improving non-accrual trends (down to 2.3%/1.1% from 2.7%/1.3%) suggest portfolio credit quality is stabilizing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at risk — 125.8% payout ratio with declining EPS (-40.9% YoY) and shrinking supplemental dividends suggests further distribution cuts ahead [1][5]</w:t>
      </w:r>
    </w:p>
    <w:p>
      <w:pPr>
        <w:spacing w:before="40" w:after="40"/>
        <w:ind w:left="283"/>
      </w:pPr>
      <w:r>
        <w:rPr>
          <w:rFonts w:ascii="Calibri" w:hAnsi="Calibri"/>
          <w:b/>
          <w:color w:val="4A6B25"/>
          <w:sz w:val="20"/>
        </w:rPr>
        <w:t xml:space="preserve">2. </w:t>
      </w:r>
      <w:r>
        <w:rPr>
          <w:rFonts w:ascii="Calibri" w:hAnsi="Calibri"/>
          <w:b w:val="0"/>
          <w:color w:val="3A4A28"/>
          <w:sz w:val="20"/>
        </w:rPr>
        <w:t>OBDC II governance controversy — suspended redemptions, continued fee collection, and failed merger attempt eroded investor trust and raised questions about management alignment [3]</w:t>
      </w:r>
    </w:p>
    <w:p>
      <w:pPr>
        <w:spacing w:before="40" w:after="40"/>
        <w:ind w:left="283"/>
      </w:pPr>
      <w:r>
        <w:rPr>
          <w:rFonts w:ascii="Calibri" w:hAnsi="Calibri"/>
          <w:b/>
          <w:color w:val="4A6B25"/>
          <w:sz w:val="20"/>
        </w:rPr>
        <w:t xml:space="preserve">3. </w:t>
      </w:r>
      <w:r>
        <w:rPr>
          <w:rFonts w:ascii="Calibri" w:hAnsi="Calibri"/>
          <w:b w:val="0"/>
          <w:color w:val="3A4A28"/>
          <w:sz w:val="20"/>
        </w:rPr>
        <w:t>Credit cycle exposure — middle-market borrowers face stress from high rates, and Glendon Capital's allegations of misrepresented portfolio loss rates add uncertainty around true asset quality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OBDC's core business — originating and managing direct loans to middle-market companies — is relationship-driven and requires human judgment on credit risk, deal structuring, and borrower relationships that AI cannot replicate [2]. The lending process involves proprietary deal sourcing, complex covenant negotiation, and ongoing portfolio monitoring across 234 companies. BDCs are regulated investment companies under the Investment Company Act of 1940, adding regulatory moats. AI tools may enhance credit analysis efficiency but cannot substitute for the trust-based relationships and capital commitment that define direct lending. AI Opportunity (1/1): Blue Owl manages technology-focused BDCs alongside OBDC, providing direct exposure to AI-economy companies as borrowers [2]. AI adoption by portfolio companies likely strengthens their credit profiles and ability to service OBDC's loans.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Owl Capital Corporation Q4/FY2025 Earnings Release — NAV $14.81, $16.5B portfolio, Moody's Baa2 upgrade, February 18, 2026</w:t>
      </w:r>
    </w:p>
    <w:p>
      <w:pPr>
        <w:spacing w:before="20" w:after="20"/>
        <w:ind w:left="170"/>
      </w:pPr>
      <w:r>
        <w:rPr>
          <w:rFonts w:ascii="Calibri" w:hAnsi="Calibri"/>
          <w:b/>
          <w:color w:val="4A6B25"/>
          <w:sz w:val="15"/>
        </w:rPr>
        <w:t xml:space="preserve">2. </w:t>
      </w:r>
      <w:r>
        <w:rPr>
          <w:rFonts w:ascii="Calibri" w:hAnsi="Calibri"/>
          <w:b w:val="0"/>
          <w:color w:val="3A4A28"/>
          <w:sz w:val="17"/>
        </w:rPr>
        <w:t>Blue Owl Capital Corporation — About, Management, Investment Strategy,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Morningstar, PennantPark, Glendon Capital — OBDC II governance controversy, redemption suspension, loss rate allegations, 2025-2026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Seeking Alpha — OBDC dividend history, yield, and sustainability analysis,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OBDC (Blue Owl Capital Corporation),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