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OCGN</w:t>
      </w:r>
      <w:r>
        <w:rPr>
          <w:rFonts w:ascii="Calibri" w:hAnsi="Calibri"/>
          <w:b/>
          <w:color w:val="1A2010"/>
          <w:sz w:val="40"/>
        </w:rPr>
        <w:t xml:space="preserve">  Ocugen, Inc.</w:t>
      </w:r>
    </w:p>
    <w:p>
      <w:pPr>
        <w:spacing w:after="120"/>
      </w:pPr>
      <w:r>
        <w:rPr>
          <w:rFonts w:ascii="Calibri" w:hAnsi="Calibri"/>
          <w:b/>
          <w:color w:val="6E8450"/>
          <w:sz w:val="18"/>
        </w:rPr>
        <w:t>GROWTH SLEEVE · 2026-03-28 · Inspire: 30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Ocugen is a clinical-stage biopharmaceutical company focused on discovering, developing, and commercializing novel gene and cell therapies and vaccines for retinal diseases including retinitis pigmentosa, Leber congenital amaurosis, Stargardt disease, and dry age-related macular degeneration.</w:t>
      </w:r>
    </w:p>
    <w:p>
      <w:r>
        <w:rPr>
          <w:rFonts w:ascii="Calibri" w:hAnsi="Calibri"/>
          <w:b/>
          <w:color w:val="6E8450"/>
          <w:sz w:val="18"/>
        </w:rPr>
        <w:t>116 Employees · https://www.ocugen.com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Ocugen pivoted from its original Histogen merger focus to gene therapy for inherited retinal diseases, but has not yet commercialized any product — Phase 3 liMeliGhT trial for OCU400 is its most advanced asset with topline data expected Q1 2027 [1]. AI Deployment (0/2): No AI products or AI-driven cost savings reported; the company is a traditional biotech with no AI deployment [2]. Market Share (1/2): Ocugen's modifier gene therapy approach is unique in that OCU400 addresses multiple genetic mutations with a single therapy — the only known gene-agnostic retinitis pigmentosa trial — giving it a potential first-mover position in a niche category [1]. Pipeline (2/2): Robust pipeline with specific timelines: OCU400 BLA rolling submission targeted Q3 2026, OCU410ST pivotal trial ongoing with interim data mid-2026, OCU410 Phase III initiation Q3 2026, and OCU200 enrollment completing in 2026 [1]. R&amp;D Intensity (1/1): R&amp;D spending of $39.8M against $4.4M revenue represents extraordinary R&amp;D intensity, well above biotech peers on a percentage basis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Ocugen's mission — 'to cure blindness diseases' and develop therapies that 'improve patients' health and quality of life' — is clear and specific to ophthalmology but not deeply distinctive or transformative beyond the obvious biotech purpose statement [3]. Community Impact (1/2): The company's gene therapy programs target rare diseases (retinitis pigmentosa, Stargardt) with no FDA-approved treatments, representing meaningful social impact for underserved patient populations, but no specific charitable programs or community investment were identified [1]. Employee Retention (0/2): Glassdoor rating of 2.7/5 with only 39% recommending Ocugen to a friend, culture rated 2.5/5 with complaints about 'bad management' and lack of transparency — significantly below the 3.5 industry average [2]. Insider Buying (1/2): CEO Shankar Musunuri has maintained a 12-year tenure and holds significant equity, but no evidence of meaningful net insider buying in recent quarters was found; compensation is $1.94M with 61% in stock-based bonuses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Ocugen is a pre-revenue clinical-stage biotech burning approximately $67.8M annually against just $4.4M in licensing revenue [1]. Cash position of $18.57M at year-end was critically low before a $22.5M equity offering in January 2026 extended the runway to Q4 2026 [1]. Forward P/E of 42.5x reflects speculative valuation on distant earnings. ROE of -7.8% and 0% profit margin confirm no path to near-term profitability. The company will need additional capital raises in 2026-2027, creating significant dilution risk for existing shareholders [1]. Liquidity floor cleared at $13.7M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Ocugen under CEO Musunuri demonstrates commitment to a long-term vision of curing blindness through gene therapy, but the company's financial fragility and governance challenges undermine its ability to play an infinite game. The 12-year CEO tenure shows persistence, but poor internal culture and chronic cash burn raise questions about organizational sustainability.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Ocugen's cause — curing inherited blindness through gene-agnostic therapy — is genuinely inspiring and addresses unmet medical needs with no current FDA-approved treatments [1]. The modifier gene therapy platform that could treat multiple genetic mutations with a single product represents a bold, patient-centric vision. However, the cause has not yet been validated by commercial success, and the company's pivot through COVID vaccines (Covaxin) diluted the narrative. Score: 2/3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2.7/5 is 23% below the biotech industry average of 3.5, with culture and values rated just 2.5/5 [2]. Employee reviews cite 'bad management' and 'too much mysterious upper management with no transparency.' Only 39% of employees would recommend Ocugen to a friend. Recent reports of sudden departure of key executives further signal organizational instability [4]. Score: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Ocugen positions its gene-agnostic approach as differentiated from single-gene therapies like Luxturna (Spark Therapeutics), but competitive language focuses more on Ocugen's uniqueness than learning from rivals [1]. No evidence of management explicitly acknowledging worthy rivals or using competitive pressure for self-improvement.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Ocugen pivoted from its original Histogen merger focus to gene therapy for inherited retinal diseases, and later added COVID vaccine distribution (Covaxin partnership with Bharat Biotech) before refocusing on its core gene therapy pipeline [1]. These shifts show adaptability, though the Covaxin detour was arguably opportunistic rather than cause-driven.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Musunuri has maintained focus on gene therapy through 12 years of pre-revenue operations, investing heavily in R&amp;D ($39.8M in 2025) despite minimal revenue and declining cash [1]. The decision to advance multiple gene therapy programs simultaneously while burning cash requires conviction. However, the chronic need for dilutive capital raises raises questions about whether this is courage or financial necessity.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Ocugen's bull case rests on its potentially transformative gene therapy pipeline targeting inherited retinal diseases with no FDA-approved treatments. OCU400's gene-agnostic approach to retinitis pigmentosa — the only trial addressing multiple genetic mutations with a single therapy — could create a new treatment paradigm if Phase 3 liMeliGhT data delivers in Q1 2027 [1]. Three-year Phase 1/2 results showing sustained two-line gains in low-light visual acuity are encouraging. Oppenheimer initiated coverage with an Outperform rating and $10 price target (5x current price), while Lucid Capital raised its target to $22 [1]. Gene therapies command $1-4M per patient pricing, meaning even modest market penetration across multiple indications could generate transformative revenue.</w:t>
      </w:r>
    </w:p>
    <w:p>
      <w:pPr>
        <w:spacing w:after="120"/>
      </w:pPr>
      <w:r>
        <w:rPr>
          <w:rFonts w:ascii="Calibri" w:hAnsi="Calibri"/>
          <w:b w:val="0"/>
          <w:color w:val="3A4A28"/>
          <w:sz w:val="20"/>
        </w:rPr>
        <w:t>The bear case is severe financial fragility combined with binary clinical risk. Ocugen burned $67.8M in 2025 against just $4.4M in revenue, and its $18.57M cash position required an emergency $22.5M equity raise in January 2026 to extend the runway to Q4 2026 [1]. Additional dilutive raises are virtually certain before any product reaches market. OCU410 Phase II data showed only a 31% reduction in GA lesion growth — weaker than expected — causing an 8.6% stock drop and raising questions about Phase III viability [1]. Key executive departures and Glassdoor ratings of 2.7/5 suggest internal instability [2]. With a $613M market cap, no near-term revenue path, and multiple clinical catalysts that could go either way, this is a high-risk speculative position inappropriate for most portfolios.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OCU400 rolling BLA submission targeted Q3 2026 and Phase 3 topline data expected Q1 2027 — pivotal readout for the lead gene therapy asset [1]</w:t>
      </w:r>
    </w:p>
    <w:p>
      <w:pPr>
        <w:spacing w:before="40" w:after="40"/>
        <w:ind w:left="283"/>
      </w:pPr>
      <w:r>
        <w:rPr>
          <w:rFonts w:ascii="Calibri" w:hAnsi="Calibri"/>
          <w:b/>
          <w:color w:val="4A6B25"/>
          <w:sz w:val="20"/>
        </w:rPr>
        <w:t xml:space="preserve">2. </w:t>
      </w:r>
      <w:r>
        <w:rPr>
          <w:rFonts w:ascii="Calibri" w:hAnsi="Calibri"/>
          <w:b w:val="0"/>
          <w:color w:val="3A4A28"/>
          <w:sz w:val="20"/>
        </w:rPr>
        <w:t>OCU410ST pivotal trial interim data expected mid-2026 for Stargardt disease, a condition with zero FDA-approved treatments [1]</w:t>
      </w:r>
    </w:p>
    <w:p>
      <w:pPr>
        <w:spacing w:before="40" w:after="40"/>
        <w:ind w:left="283"/>
      </w:pPr>
      <w:r>
        <w:rPr>
          <w:rFonts w:ascii="Calibri" w:hAnsi="Calibri"/>
          <w:b/>
          <w:color w:val="4A6B25"/>
          <w:sz w:val="20"/>
        </w:rPr>
        <w:t xml:space="preserve">3. </w:t>
      </w:r>
      <w:r>
        <w:rPr>
          <w:rFonts w:ascii="Calibri" w:hAnsi="Calibri"/>
          <w:b w:val="0"/>
          <w:color w:val="3A4A28"/>
          <w:sz w:val="20"/>
        </w:rPr>
        <w:t>OCU410 Phase III initiation Q3 2026 for geographic atrophy / dry AMD, a massive addressable market worth $10B+ annually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extends only to Q4 2026, requiring additional dilutive financing before any product reaches commercialization [1]</w:t>
      </w:r>
    </w:p>
    <w:p>
      <w:pPr>
        <w:spacing w:before="40" w:after="40"/>
        <w:ind w:left="283"/>
      </w:pPr>
      <w:r>
        <w:rPr>
          <w:rFonts w:ascii="Calibri" w:hAnsi="Calibri"/>
          <w:b/>
          <w:color w:val="4A6B25"/>
          <w:sz w:val="20"/>
        </w:rPr>
        <w:t xml:space="preserve">2. </w:t>
      </w:r>
      <w:r>
        <w:rPr>
          <w:rFonts w:ascii="Calibri" w:hAnsi="Calibri"/>
          <w:b w:val="0"/>
          <w:color w:val="3A4A28"/>
          <w:sz w:val="20"/>
        </w:rPr>
        <w:t>Binary clinical trial risk — OCU400 Phase 3 failure would devastate the investment thesis and likely trigger &gt;50% stock decline [1]</w:t>
      </w:r>
    </w:p>
    <w:p>
      <w:pPr>
        <w:spacing w:before="40" w:after="40"/>
        <w:ind w:left="283"/>
      </w:pPr>
      <w:r>
        <w:rPr>
          <w:rFonts w:ascii="Calibri" w:hAnsi="Calibri"/>
          <w:b/>
          <w:color w:val="4A6B25"/>
          <w:sz w:val="20"/>
        </w:rPr>
        <w:t xml:space="preserve">3. </w:t>
      </w:r>
      <w:r>
        <w:rPr>
          <w:rFonts w:ascii="Calibri" w:hAnsi="Calibri"/>
          <w:b w:val="0"/>
          <w:color w:val="3A4A28"/>
          <w:sz w:val="20"/>
        </w:rPr>
        <w:t>OCU410 Phase II GA data was weaker than expected (31% lesion reduction), raising questions about Phase III design and competitive positioning against Apellis and Iveric Bio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Ocugen's core business — developing gene and cell therapies for inherited retinal diseases — involves complex biological manufacturing, surgical delivery (subretinal injection), and highly regulated FDA approval pathways that AI cannot replicate or substitute [1]. Gene therapy development requires wet lab work, animal studies, and clinical trials that are inherently physical-world processes. AI tools may assist in target identification or clinical trial optimization, but they cannot replace the therapeutic modality itself. No analyst has flagged AI as a disruption risk for Ocugen's business model [2]. AI Opportunity (0/1): Ocugen generates no revenue from AI products or services and has not disclosed any AI-related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Ocugen Q4/FY2025 Earnings Release and Business Update — $67.8M net loss, $4.4M revenue, pipeline milestones, November 2025 / March 2026</w:t>
      </w:r>
    </w:p>
    <w:p>
      <w:pPr>
        <w:spacing w:before="20" w:after="20"/>
        <w:ind w:left="170"/>
      </w:pPr>
      <w:r>
        <w:rPr>
          <w:rFonts w:ascii="Calibri" w:hAnsi="Calibri"/>
          <w:b/>
          <w:color w:val="4A6B25"/>
          <w:sz w:val="15"/>
        </w:rPr>
        <w:t xml:space="preserve">2. </w:t>
      </w:r>
      <w:r>
        <w:rPr>
          <w:rFonts w:ascii="Calibri" w:hAnsi="Calibri"/>
          <w:b w:val="0"/>
          <w:color w:val="3A4A28"/>
          <w:sz w:val="17"/>
        </w:rPr>
        <w:t>Glassdoor Ocugen Reviews — 2.7/5 rating, 39% recommend, culture 2.5/5; Simply Wall St CEO compensation analysis,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Ocugen.com — Company mission, pipeline overview, and leadership team,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StocksToTrade, TimothySykes — Ocugen stock analysis, executive departures, and market reactions, March 2026</w:t>
      </w:r>
    </w:p>
    <w:p>
      <w:pPr>
        <w:spacing w:before="20" w:after="20"/>
        <w:ind w:left="170"/>
      </w:pPr>
      <w:r>
        <w:rPr>
          <w:rFonts w:ascii="Calibri" w:hAnsi="Calibri"/>
          <w:b/>
          <w:color w:val="4A6B25"/>
          <w:sz w:val="15"/>
        </w:rPr>
        <w:t xml:space="preserve">5. </w:t>
      </w:r>
      <w:r>
        <w:rPr>
          <w:rFonts w:ascii="Calibri" w:hAnsi="Calibri"/>
          <w:b w:val="0"/>
          <w:color w:val="3A4A28"/>
          <w:sz w:val="17"/>
        </w:rPr>
        <w:t>Oppenheimer Outperform initiation ($10 PT) and Lucid Capital price target revision ($22), March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OCGN key statistics and financial data,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