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w:t>
      </w:r>
      <w:r>
        <w:rPr>
          <w:rFonts w:ascii="Calibri" w:hAnsi="Calibri"/>
          <w:b/>
          <w:color w:val="1A2010"/>
          <w:sz w:val="40"/>
        </w:rPr>
        <w:t xml:space="preserve">  Oriental Culture Holding LTD</w:t>
      </w:r>
    </w:p>
    <w:p>
      <w:pPr>
        <w:spacing w:after="120"/>
      </w:pPr>
      <w:r>
        <w:rPr>
          <w:rFonts w:ascii="Calibri" w:hAnsi="Calibri"/>
          <w:b/>
          <w:color w:val="6E8450"/>
          <w:sz w:val="18"/>
        </w:rPr>
        <w:t>GROWTH SLEEVE · 2026-04-19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Hong Kong</w:t>
      </w:r>
    </w:p>
    <w:p>
      <w:pPr>
        <w:spacing w:after="80"/>
      </w:pPr>
      <w:r>
        <w:rPr>
          <w:rFonts w:ascii="Calibri" w:hAnsi="Calibri"/>
          <w:b w:val="0"/>
          <w:color w:val="3A4A28"/>
          <w:sz w:val="20"/>
        </w:rPr>
        <w:t>Oriental Culture Holding operates an online platform facilitating e-commerce trading of artwork, collectibles, and commodities primarily in China and Hong Kong. The company also offers integrated marketing, storage, technical maintenance services, and is developing a Wine and Spirits metaverse project. Incorporated in 2018 and headquartered in Hong Kong, the company has been publicly listed on Nasdaq since 2021.</w:t>
      </w:r>
    </w:p>
    <w:p>
      <w:r>
        <w:rPr>
          <w:rFonts w:ascii="Calibri" w:hAnsi="Calibri"/>
          <w:b/>
          <w:color w:val="6E8450"/>
          <w:sz w:val="18"/>
        </w:rPr>
        <w:t>33 Employees · https://www.ocgroup.hk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Oriental Culture has experienced catastrophic revenue decline — trailing 12-month revenue of just $317K represents a 68.4% YoY decline, and the business has effectively failed to establish a sustainable revenue model since its 2021 IPO [1]. No successful product launches or market pivots have materialized. AI Deployment (0/2): No evidence of AI deployment, AI-powered products, or AI strategy. The company's collectibles e-commerce platform shows no AI integration [2]. Market Share (1/2): The company operates in the niche Chinese online collectibles and artwork trading market, but its $317K revenue indicates negligible market share in any meaningful category [1]. Pipeline (1/2): The Wine and Spirits metaverse project was announced but has not generated material revenue; recent governance changes suggest a strategic repositioning attempt is underway [2]. R&amp;D Intensity (0/1): No evidence of meaningful R&amp;D investment; the 33-person company has limited capacity for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Oriental Culture's mission to be the 'dominant, innovative leader in the digital collectibles and artwork e-commerce space' is aspirational but reads as boilerplate for a company with $317K in annual revenue [2]. The gap between stated ambition and actual execution is enormous. Community Impact (0/2): No evidence of charitable programs, community investment, or social impact initiatives for this 33-person company. Employee Retention (0/2): Recent leadership changes — new Chairman Kit Ming Lo and new COO Aimin Kong appointed January 2025, plus issuance of super-voting preferred shares — suggest governance instability rather than organizational trust [2]. No employee sentiment data available. Insider Buying (1/2): The issuance of 12 million preferred shares with 15 votes each concentrates control but also demonstrates leadership's commitment to the company's direction, even if the governance structure raises concerns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Oriental Culture's financial profile is deeply distressed. Revenue of just $317K annually with a 68.4% YoY decline and near-zero profit margin indicates a business model that has failed to achieve commercial traction [1]. ROE of -8.7% reflects persistent losses. The only positive metric is zero debt ($38.8M cash, $0 debt), giving a D/E of 0% [3]. However, the $4.5M market cap against $38.8M cash is peculiar — the company trades far below its cash balance, which may reflect market skepticism about governance or capital allocation. Forward P/E and PEG are unavailable as the company is unprofitable with no analyst coverage. Liquidity floor barely passes: 1.6M avg volume × $0.77 = $1.24M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Oriental Culture Holding exhibits classic finite game characteristics — a company focused on near-term survival with frequent governance changes, declining revenue, and no clear long-term purpose beyond the stated ambition of market dominance. The recent leadership restructuring and super-voting share issuance suggest a governance structure designed to protect control rather than empower stakeholders.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stated vision to be the 'dominant, innovative leader in digital collectibles e-commerce' is aspirational but lacks substance when measured against $317K in annual revenue and a 68.4% YoY decline [1][2]. There is no Just Cause evident — the company appears to exist primarily as a listed shell with ambiguous strategic direction. Score: 0/3 points — no Just Cause evident.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a new Chairman and COO in January 2025, combined with the issuance of super-voting preferred shares, signals governance instability rather than organizational trust [2]. With only 33 employees and frequent leadership changes, the organizational foundation for trust is fragile. No employee sentiment data or cultural indicators available. Score: 0/2 points —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Oriental Culture acknowledges or learns from competitors. The company's communications do not reference competitive dynamics or use competition as motivation for improvement [2]. Score: 0/1 point — no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collectibles e-commerce to a Wine and Spirits metaverse project suggests willingness to explore new directions, but neither initiative has generated meaningful revenue [1]. The pivots appear reactive rather than driven by a coherent long-term vision. Score: 0/2 points — rigid, with superficial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strategic decisions that sacrificed short-term results for long-term capability. The special cash dividend announcement appears designed to boost the stock price rather than invest in long-term value creation [1]. Governance changes centralizing control in super-voting shares suggest leadership prioritizing position protection.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Oriental Culture Holding has a $38.8M cash balance against a $4.5M market cap, creating a deep discount to net cash value that could attract value investors if governance concerns are resolved [3]. The company's zero-debt balance sheet provides runway for strategic repositioning, and the recent leadership changes (new Chairman and COO in January 2025) could signal a turnaround attempt. The special cash dividend announcement demonstrates willingness to return capital to shareholders [1]. The online collectibles and artwork market in China has long-term growth potential as digitization of cultural assets continues.</w:t>
      </w:r>
    </w:p>
    <w:p>
      <w:pPr>
        <w:spacing w:after="120"/>
      </w:pPr>
      <w:r>
        <w:rPr>
          <w:rFonts w:ascii="Calibri" w:hAnsi="Calibri"/>
          <w:b w:val="0"/>
          <w:color w:val="3A4A28"/>
          <w:sz w:val="20"/>
        </w:rPr>
        <w:t>The bear case is severe and multifaceted. Revenue of just $317K annually (down 68.4% YoY) indicates the core business has effectively ceased generating meaningful commercial activity [1]. The $4.5M market cap for a company with 33 employees, headquartered in Hong Kong, and listed on Nasdaq raises fundamental questions about why this company is public. Governance concerns are significant — the issuance of 12 million preferred shares carrying 15 votes each concentrates decision-making power and may not serve minority shareholders' interests [2]. The company trades below $1/share, facing Nasdaq delisting risk. The metaverse project has no revenue traction, and the collectibles e-commerce platform has failed to achieve product-market fit after years of operation. China-listed-in-US companies face regulatory uncertainty from both Beijing and Washington. There is no analyst coverage and minimal institutional interest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discount to net cash value ($38.8M cash vs. $4.5M market cap) could attract activist investors or strategic acquirers if governance improves [3]</w:t>
      </w:r>
    </w:p>
    <w:p>
      <w:pPr>
        <w:spacing w:before="40" w:after="40"/>
        <w:ind w:left="283"/>
      </w:pPr>
      <w:r>
        <w:rPr>
          <w:rFonts w:ascii="Calibri" w:hAnsi="Calibri"/>
          <w:b/>
          <w:color w:val="4A6B25"/>
          <w:sz w:val="20"/>
        </w:rPr>
        <w:t xml:space="preserve">2. </w:t>
      </w:r>
      <w:r>
        <w:rPr>
          <w:rFonts w:ascii="Calibri" w:hAnsi="Calibri"/>
          <w:b w:val="0"/>
          <w:color w:val="3A4A28"/>
          <w:sz w:val="20"/>
        </w:rPr>
        <w:t>New leadership team (Chairman Kit Ming Lo, COO Aimin Kong) may execute strategic repositioning to monetize the cash balance [2]</w:t>
      </w:r>
    </w:p>
    <w:p>
      <w:pPr>
        <w:spacing w:before="40" w:after="40"/>
        <w:ind w:left="283"/>
      </w:pPr>
      <w:r>
        <w:rPr>
          <w:rFonts w:ascii="Calibri" w:hAnsi="Calibri"/>
          <w:b/>
          <w:color w:val="4A6B25"/>
          <w:sz w:val="20"/>
        </w:rPr>
        <w:t xml:space="preserve">3. </w:t>
      </w:r>
      <w:r>
        <w:rPr>
          <w:rFonts w:ascii="Calibri" w:hAnsi="Calibri"/>
          <w:b w:val="0"/>
          <w:color w:val="3A4A28"/>
          <w:sz w:val="20"/>
        </w:rPr>
        <w:t>Special cash dividend demonstrates shareholder return intent, potentially supporting the stock price above Nasdaq minimum bid requirements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business generating only $317K annual revenue with 68.4% YoY decline — the e-commerce platform has effectively failed to achieve commercial viability [1]</w:t>
      </w:r>
    </w:p>
    <w:p>
      <w:pPr>
        <w:spacing w:before="40" w:after="40"/>
        <w:ind w:left="283"/>
      </w:pPr>
      <w:r>
        <w:rPr>
          <w:rFonts w:ascii="Calibri" w:hAnsi="Calibri"/>
          <w:b/>
          <w:color w:val="4A6B25"/>
          <w:sz w:val="20"/>
        </w:rPr>
        <w:t xml:space="preserve">2. </w:t>
      </w:r>
      <w:r>
        <w:rPr>
          <w:rFonts w:ascii="Calibri" w:hAnsi="Calibri"/>
          <w:b w:val="0"/>
          <w:color w:val="3A4A28"/>
          <w:sz w:val="20"/>
        </w:rPr>
        <w:t>Governance concerns with super-voting preferred shares concentrating control, frequent leadership changes, and no independent analyst coverage [2]</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with sub-$1 share price, plus regulatory uncertainty for China-based companies listed on U.S. exchanges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Oriental Culture's e-commerce platform for collectibles and artwork trading faces meaningful AI disruption risk. AI-powered valuation tools, image recognition for artwork authentication, and algorithmic pricing could commoditize the services OCG provides, while large platforms (eBay, Alibaba, Taobao) can integrate these capabilities at far greater scale. The company's minimal technology infrastructure and 33-person team cannot compete with AI investments from major e-commerce platforms entering the collectibles space. The Wine and Spirits metaverse project faces additional risk as AI-generated virtual experiences could render basic metaverse implementations obsolete. AI Opportunity (0/1): No evidence of AI-powered products or AI-driven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Globe Newswire — OCG financial results, revenue decline, special cash dividend announcement, 2025-2026</w:t>
      </w:r>
    </w:p>
    <w:p>
      <w:pPr>
        <w:spacing w:before="20" w:after="20"/>
        <w:ind w:left="170"/>
      </w:pPr>
      <w:r>
        <w:rPr>
          <w:rFonts w:ascii="Calibri" w:hAnsi="Calibri"/>
          <w:b/>
          <w:color w:val="4A6B25"/>
          <w:sz w:val="15"/>
        </w:rPr>
        <w:t xml:space="preserve">2. </w:t>
      </w:r>
      <w:r>
        <w:rPr>
          <w:rFonts w:ascii="Calibri" w:hAnsi="Calibri"/>
          <w:b w:val="0"/>
          <w:color w:val="3A4A28"/>
          <w:sz w:val="17"/>
        </w:rPr>
        <w:t>TipRanks, DCF-Model.com — OCG leadership changes, Chairman appointment, super-voting preferred shares, governance structure,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OCG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