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OC</w:t>
      </w:r>
      <w:r>
        <w:rPr>
          <w:rFonts w:ascii="Calibri" w:hAnsi="Calibri"/>
          <w:b/>
          <w:color w:val="1A2010"/>
          <w:sz w:val="40"/>
        </w:rPr>
        <w:t xml:space="preserve">  Owens Corning</w:t>
      </w:r>
    </w:p>
    <w:p>
      <w:pPr>
        <w:spacing w:after="120"/>
      </w:pPr>
      <w:r>
        <w:rPr>
          <w:rFonts w:ascii="Calibri" w:hAnsi="Calibri"/>
          <w:b/>
          <w:color w:val="6E8450"/>
          <w:sz w:val="18"/>
        </w:rPr>
        <w:t>DIVIDEND SLEEVE · 2026-04-26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Owens Corning is a global building and construction materials leader operating through three segments: Roofing (asphalt shingles and roofing components), Insulation (thermal, acoustical, and specialty insulation products including the iconic PINK FIBERGLAS brand), and Doors (residential interior and exterior doors acquired through the 2024 Masonite acquisition). The company serves residential and commercial construction markets worldwide.</w:t>
      </w:r>
    </w:p>
    <w:p>
      <w:r>
        <w:rPr>
          <w:rFonts w:ascii="Calibri" w:hAnsi="Calibri"/>
          <w:b/>
          <w:color w:val="6E8450"/>
          <w:sz w:val="18"/>
        </w:rPr>
        <w:t>25,000 Employees · https://www.owenscorning.com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Owens Corning posted FY2025 net sales of $10.1B, up 3% from prior year, reflecting the successful integration of the $3.9B Masonite door acquisition which transformed the company into a three-segment building products platform [1]. The 20th consecutive quarter of 20%+ adjusted EBITDA margins demonstrates consistent execution. The company appointed José Méndez-Andino as Chief Innovation Officer in 2025, signaling institutional commitment to product leadership [2]. AI Deployment (1/2): CIO Annie Baymiller was promoted to EVP to accelerate deployment of generative AI and agentic AI in manufacturing processes, with machine learning used for anomaly detection and process optimization [2]. No quantified revenue or savings from AI deployment. Market Share (1/2): Owens Corning is the market leader in roofing and insulation in North America with the iconic PINK FIBERGLAS brand, but faces strong competition from GAF, CertainTeed, and others in each segment [1]. Pipeline (1/2): The Masonite integration is delivering $125M+ in cost synergies ahead of the mid-2026 target, with an additional $75M in structural cost improvements planned through network optimization [1]. R&amp;D Intensity (1/1): The appointment of a dedicated Chief Innovation Officer and investment in digital capabilities and AI-driven manufacturing suggest above-average innovation investment for a building materials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Owens Corning's sustainability mission is specific and thoughtful — the company has set 2030 sustainability goals encompassing environmental impact reduction (1.4 billion pounds of recycled glass annually), diversity targets (35% women in mid-level leadership), and supply chain responsibility [3]. This represents genuine intentionality beyond generic corporate boilerplate, with CEO Brian Chambers positioning sustainability as a competitive advantage. Community Impact (1/2): The company employs 25,000 people globally, uses 1.4 billion pounds of recycled glass annually, and has comprehensive supplier sustainability assessments covering human rights and labor practices [3]. Employee Retention (1/2): Glassdoor reviews indicate a positive culture with leaders described as family-centric offering flexibility, with many advancement opportunities [2]. Some concerns about strategic direction and subject-matter expertise at senior levels, but overall a stable environment. Insider Buying (1/2): Board and executive stock awards demonstrate equity alignment, but no meaningful open-market insider purchases were identified in recent transactions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Owens Corning's financial profile is bifurcated between strong operating performance and a one-time GAAP net loss. D/E of 146.5% (scoring 0.67) reflects the Masonite acquisition debt but is manageable for a $10B industrial company [4]. ROE is temporarily negative at -4.2% due to $522M net loss in FY2025 (likely including Masonite-related charges and impairments), though adjusted EPS of $12.05 demonstrates strong underlying profitability [1]. Revenue grew 2.6% YoY with 3-year CAGR of 1.2%. Forward P/E of 10.8x is very attractive for a market-leading industrial franchise (scoring 1.0) [4]. Profit margin is temporarily negative but operating margins remain healthy at 22% adjusted EBITDA. Dividend metrics are strong: payout ratio of 31.6% (scoring 1.0), 13 consecutive years paid (scoring 1.0 at 2x weight), 6 consecutive years of growth, and an exceptional 27.6% 5-year dividend growth CAGR from $1.04 to $2.76 annually [4]. Liquidity floor easily cleared at $184.8M daily volume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Owens Corning demonstrates strong infinite game characteristics under CEO Brian Chambers, with a genuine sustainability mission, transformative strategic flexibility in the Masonite acquisition, and consistent long-term investment in capabilities. The 88-year corporate history and deliberate innovation investment signal a company playing to keep playing, though competitive language sometimes reverts to finite market share framing.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Owens Corning's sustainability mission — reducing environmental impact while providing building materials that improve energy efficiency and comfort — is genuine and partially lived out through specific 2030 targets, 1.4B pounds of recycled glass, and supplier responsibility programs [3]. CEO Chambers has positioned sustainability as integral to strategy rather than an afterthought. The mission is distinctive for a building materials company but hasn't been tested through the kind of multi-decade consistency that earns a 3/3.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 family-centric leadership culture with flexibility and advancement opportunities [2]. The company employs 25,000 people with stable leadership under CEO Chambers since 2020. However, reviews flag concerns about strategic direction clarity and senior leadership expertise, suggesting the trust environment is solid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Owens Corning competes against GAF (roofing), CertainTeed/Saint-Gobain (insulation), and Therma-Tru/Pella (doors), and management's language focuses on product innovation and customer value rather than destroying competitors [1]. The appointment of a Chief Innovation Officer to advance product leadership reflects an improvement-oriented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$3.9B Masonite acquisition in 2024 fundamentally transformed Owens Corning from a two-segment company (Roofing + Insulation) into a three-segment building products platform (adding Doors) [1]. This was a bold, transformative bet that significantly expanded the company's addressable market and changed its strategic identity. The acquisition during a period of market uncertainty, with aggressive $125M+ synergy targets being achieved ahead of schedule, demonstrates willingness to reinvent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Masonite acquisition at $3.9B was a courageous capital allocation decision that took on significant debt during uncertain market conditions [1]. Additionally, raising dividends by 14.5% (from $0.69 to $0.79/quarter) despite a GAAP net loss in FY2025 shows confidence in underlying earnings power and commitment to long-term shareholder returns over short-term GAAP optics.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Owens Corning is a market-leading building products franchise trading at just 10.8x forward earnings with $10.1B in revenue, 22% adjusted EBITDA margins for 20 consecutive quarters, and adjusted EPS of $12.05 [1]. The transformative $3.9B Masonite acquisition is delivering $125M+ in run-rate cost synergies ahead of schedule, with an additional $75M in structural cost improvements planned [1]. The dividend has compounded at 27.6% annually over 5 years, growing from $1.04 to $2.76 with a conservative 31.6% payout ratio, and the latest increase to $0.79/quarter signals management confidence in underlying earnings power [4]. The stock trades at $125.61, 21% below its 52-week high of $159.42, offering an attractive entry point for a best-in-class building materials business with iconic brands and housing cycle exposure [4].</w:t>
      </w:r>
    </w:p>
    <w:p>
      <w:pPr>
        <w:spacing w:after="120"/>
      </w:pPr>
      <w:r>
        <w:rPr>
          <w:rFonts w:ascii="Calibri" w:hAnsi="Calibri"/>
          <w:b w:val="0"/>
          <w:color w:val="3A4A28"/>
          <w:sz w:val="20"/>
        </w:rPr>
        <w:t>The bear case centers on the GAAP net loss and housing market risk. FY2025 reported a $522M net loss, likely driven by Masonite acquisition-related charges, impairments, or restructuring costs that could signal integration challenges beyond synergy capture [1]. D/E of 146.5% reflects meaningful acquisition debt that must be serviced during a period of uncertain housing demand. Revenue growth of only 2.6% despite the Masonite addition suggests organic revenue may be declining as housing starts remain depressed by elevated mortgage rates. The negative profit margin (-5.2%) and negative ROE (-4.2%) will persist in trailing metrics until the one-time charges roll off [4]. Q1 2026 guidance of mid-teens EBITDA margin versus 22% full-year suggests near-term seasonal or market-driven pressure. If housing construction fails to recover, the company's leverage from the Masonite acquisition becomes a liability rather than a strategic advantage. Climate-related building codes could also disrupt traditional roofing demand patterns.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Masonite integration delivering $125M+ cost synergies ahead of schedule with additional $75M structural savings planned through network optimization [1]</w:t>
      </w:r>
    </w:p>
    <w:p>
      <w:pPr>
        <w:spacing w:before="40" w:after="40"/>
        <w:ind w:left="283"/>
      </w:pPr>
      <w:r>
        <w:rPr>
          <w:rFonts w:ascii="Calibri" w:hAnsi="Calibri"/>
          <w:b/>
          <w:color w:val="4A6B25"/>
          <w:sz w:val="20"/>
        </w:rPr>
        <w:t xml:space="preserve">2. </w:t>
      </w:r>
      <w:r>
        <w:rPr>
          <w:rFonts w:ascii="Calibri" w:hAnsi="Calibri"/>
          <w:b w:val="0"/>
          <w:color w:val="3A4A28"/>
          <w:sz w:val="20"/>
        </w:rPr>
        <w:t>Housing cycle recovery — pent-up demand from years of underbuilding could drive significant volume growth across all three segments as mortgage rates normalize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of 27.6% CAGR with conservative 31.6% payout ratio supports continued double-digit annual increases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net loss of $522M in FY2025 may reflect Masonite integration challenges beyond one-time charges — investors need clarity on underlying profitability trajectory [1]</w:t>
      </w:r>
    </w:p>
    <w:p>
      <w:pPr>
        <w:spacing w:before="40" w:after="40"/>
        <w:ind w:left="283"/>
      </w:pPr>
      <w:r>
        <w:rPr>
          <w:rFonts w:ascii="Calibri" w:hAnsi="Calibri"/>
          <w:b/>
          <w:color w:val="4A6B25"/>
          <w:sz w:val="20"/>
        </w:rPr>
        <w:t xml:space="preserve">2. </w:t>
      </w:r>
      <w:r>
        <w:rPr>
          <w:rFonts w:ascii="Calibri" w:hAnsi="Calibri"/>
          <w:b w:val="0"/>
          <w:color w:val="3A4A28"/>
          <w:sz w:val="20"/>
        </w:rPr>
        <w:t>Elevated D/E of 146.5% from the Masonite acquisition creates financial risk if housing demand weakens and cash flow deteriorates [4]</w:t>
      </w:r>
    </w:p>
    <w:p>
      <w:pPr>
        <w:spacing w:before="40" w:after="40"/>
        <w:ind w:left="283"/>
      </w:pPr>
      <w:r>
        <w:rPr>
          <w:rFonts w:ascii="Calibri" w:hAnsi="Calibri"/>
          <w:b/>
          <w:color w:val="4A6B25"/>
          <w:sz w:val="20"/>
        </w:rPr>
        <w:t xml:space="preserve">3. </w:t>
      </w:r>
      <w:r>
        <w:rPr>
          <w:rFonts w:ascii="Calibri" w:hAnsi="Calibri"/>
          <w:b w:val="0"/>
          <w:color w:val="3A4A28"/>
          <w:sz w:val="20"/>
        </w:rPr>
        <w:t>Prolonged high mortgage rate environment could suppress housing starts and renovation activity, pressuring revenue growth across Roofing, Insulation, and Doors segments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Owens Corning manufactures physical building materials — roofing shingles, fiberglass insulation, and doors — that AI structurally cannot replace [2]. Construction materials require physical production, distribution, and installation. The company's competitive moats are built on manufacturing scale, brand recognition (PINK FIBERGLAS), and distribution relationships with contractors, home centers, and builders — none of which are susceptible to AI substitution. If anything, AI-driven construction planning and energy efficiency mandates could increase demand for Owens Corning's insulation products. The company is actively deploying AI in manufacturing (anomaly detection, process optimization) to strengthen its cost position [2]. AI Opportunity (0/1): No evidence of AI-generated revenue. AI deployment is focused on internal manufacturing efficiency rather than revenue-generating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Owens Corning FY2025 Earnings Release — $10.1B net sales, $12.05 adjusted EPS, $125M+ synergies, February 2026</w:t>
      </w:r>
    </w:p>
    <w:p>
      <w:pPr>
        <w:spacing w:before="20" w:after="20"/>
        <w:ind w:left="170"/>
      </w:pPr>
      <w:r>
        <w:rPr>
          <w:rFonts w:ascii="Calibri" w:hAnsi="Calibri"/>
          <w:b/>
          <w:color w:val="4A6B25"/>
          <w:sz w:val="15"/>
        </w:rPr>
        <w:t xml:space="preserve">2. </w:t>
      </w:r>
      <w:r>
        <w:rPr>
          <w:rFonts w:ascii="Calibri" w:hAnsi="Calibri"/>
          <w:b w:val="0"/>
          <w:color w:val="3A4A28"/>
          <w:sz w:val="17"/>
        </w:rPr>
        <w:t>Owens Corning leadership (CEO Brian Chambers, CIO Annie Baymiller, CInO José Méndez-Andino), Glassdoor reviews, AI deployment,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Owens Corning sustainability report and ESG commitments — 2030 goals, recycled glass usage, Sustainalytics 'Strong' rating,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OC (Owens Corning),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