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ODFL</w:t>
      </w:r>
      <w:r>
        <w:rPr>
          <w:rFonts w:ascii="Calibri" w:hAnsi="Calibri"/>
          <w:b/>
          <w:color w:val="1A2010"/>
          <w:sz w:val="40"/>
        </w:rPr>
        <w:t xml:space="preserve">  Old Dominion Freight Line, Inc.</w:t>
      </w:r>
    </w:p>
    <w:p>
      <w:pPr>
        <w:spacing w:after="120"/>
      </w:pPr>
      <w:r>
        <w:rPr>
          <w:rFonts w:ascii="Calibri" w:hAnsi="Calibri"/>
          <w:b/>
          <w:color w:val="6E8450"/>
          <w:sz w:val="18"/>
        </w:rPr>
        <w:t>DIVIDEND SLEEVE · 2026-04-15 · Inspire: 38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NASDAQ · United States</w:t>
      </w:r>
    </w:p>
    <w:p>
      <w:pPr>
        <w:spacing w:after="80"/>
      </w:pPr>
      <w:r>
        <w:rPr>
          <w:rFonts w:ascii="Calibri" w:hAnsi="Calibri"/>
          <w:b w:val="0"/>
          <w:color w:val="3A4A28"/>
          <w:sz w:val="20"/>
        </w:rPr>
        <w:t>Old Dominion Freight Line is the premier U.S. less-than-truckload (LTL) carrier, known for industry-leading 99% on-time service performance and best-in-class operating ratios. The company operates ~260 service centers across North America, serving manufacturing, retail, and e-commerce customers with premium LTL freight services.</w:t>
      </w:r>
    </w:p>
    <w:p>
      <w:r>
        <w:rPr>
          <w:rFonts w:ascii="Calibri" w:hAnsi="Calibri"/>
          <w:b/>
          <w:color w:val="6E8450"/>
          <w:sz w:val="18"/>
        </w:rPr>
        <w:t>23,000 Employees · https://www.odfl.com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ODFL maintained 99% on-time performance and beat Q4 2025 earnings expectations, but full-year 2025 revenue declined 5.5% and diluted EPS dropped 11.7% amid freight recession; operating ratio deteriorated to 75.2% [1]. AI Deployment (1/2): The company is actively deploying data analytics, AI, RFID, automated dispatch, and real-time tracking; VP of Technology Barry Craver has publicly emphasized digitization/AI opportunity, and dedicated VP roles for Business Process &amp; Innovation and OD Technology exist [2]. Market Share (2/2): ODFL is the #1 pure-play LTL carrier by operating ratio and service quality, with ~12% LTL market share and sustained share gains since the Yellow bankruptcy [1]. Pipeline (1/2): Continued service center expansion and capacity investments position ODFL to capture volume when the freight cycle recovers; Q1 2026 results due April 29 will clarify inflection [1]. R&amp;D Intensity (0/1): LTL trucking is not an R&amp;D-intensive business, though ODFL invests meaningfully in technology and fleet modernization.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ODFL is a Congdon family-led company with a strong 'OD Family' culture of operational excellence and customer commitment; CEO Kevin 'Marty' Freeman has 45 years of company experience and 34+ years at ODFL [2]. Community Impact (1/2): 23,000 employees across ~260 service centers create meaningful regional economic impact but ODFL is not a public-purpose company. Employee Retention (1/2): Glassdoor rating of 3.9/5 with 71% recommending the company and 4.2/5 on compensation reflects solid employee experience, though driver turnover remains industry-wide challenge [2]. Insider Buying (1/2): Significant Congdon family ownership (~15%) aligns leadership with long-term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ODFL retains best-in-class financial profile despite cyclical weakness. Stock at $210.41 with $44B market cap [4]. ROE of 23.9% and profit margin of 18.6% are elite for a trucking company (peers typically 3-5% margin) [4]. D/E of just 3.3% is exceptionally conservative — ODFL famously runs a near-debt-free balance sheet in a capital-intensive industry [4]. Revenue growth of -5.7% YoY reflects the multi-year LTL freight recession; EPS growth of -10.5% YoY [4]. P/E of 43.5x and forward P/E of 34.6x are elevated — investors continue paying a premium for quality and post-Yellow share gain optionality [4]. Dividend yield modest (~0.6%) with multi-year growth and conservative payout. Liquidity floor easily cleared: 2.4M x $210 = $505M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ODFL is a textbook infinite-game operator — Congdon family stewardship, multi-decade investment in service quality, near-debt-free balance sheet that protects the company across cycles, and a willingness to absorb margin pain during downturns to preserve long-term competitive positioning. The company plays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ODFL's relentless focus on being the premier LTL carrier — evidenced by 99% on-time performance maintained through a freight recession — is a durable just cause [1]. The 'OD Family' culture and founding Congdon family ownership reinforce long-term commitment to service excellence.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Kevin 'Marty' Freeman has 45 years in transportation, 34+ at ODFL, representing deep internal promotion culture [2]. Glassdoor 3.9/5 with 71% recommendation and 4.2/5 compensation rating reflects a genuinely trust-based culture rare in trucking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ODFL competes with XPO, Saia, Knight-Swift LTL, FedEx Freight, ABF Freight, and others — the Yellow bankruptcy in 2023 removed a major rival and ODFL has gained share by leaning into service quality rather than pricing [1]. Management openly benchmarks against best-in-class operators.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ODFL has evolved from a regional carrier to the premier national LTL operator through consistent capital investment in service centers and technology [2]. Recent embrace of data analytics, AI, and automation shows willingness to modernize rather than defend legacy operations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ODFL's near-debt-free balance sheet (D/E 3.3%) is a courageous long-term stance that allows the company to outlast competitors in freight downturns [4]. Management's willingness to let operating ratio deteriorate to 75.2% rather than cut capacity or service levels demonstrates long-term discipline [1]. The ongoing pushback against shareholder proposals for Paris-aligned emissions targets (24% support) reflects management conviction but is a governance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Old Dominion Freight Line is the premier U.S. LTL carrier, structurally advantaged by industry-leading 99% on-time service, best-in-class operating ratios, and a near-debt-free balance sheet (D/E 3.3%) that is exceptional in a capital-intensive industry [1][4]. ROE of 23.9% and profit margin of 18.6% are far above trucking peers [4]. The 2023 Yellow bankruptcy removed a major competitor, and ODFL has used the downturn to gain share and invest in service centers and technology. The company is actively deploying AI, data analytics, RFID, and automation to improve dispatch and yield management [2]. Congdon family stewardship and the 'OD Family' culture reinforce an infinite-game operating mindset that has compounded shareholder value over decades.</w:t>
      </w:r>
    </w:p>
    <w:p>
      <w:pPr>
        <w:spacing w:after="120"/>
      </w:pPr>
      <w:r>
        <w:rPr>
          <w:rFonts w:ascii="Calibri" w:hAnsi="Calibri"/>
          <w:b w:val="0"/>
          <w:color w:val="3A4A28"/>
          <w:sz w:val="20"/>
        </w:rPr>
        <w:t>The bear case is cyclical and valuation-driven. Full-year 2025 revenue declined 5.5% and EPS fell 11.7% as the freight recession extended into a third year, with operating ratio deteriorating to 75.2% [1]. At 43.5x trailing and 34.6x forward P/E, ODFL trades at premium multiples that already assume a freight-cycle recovery [4]. A prolonged industrial slowdown could pressure earnings further. Long-term, autonomous trucking could eventually pressure driver economics, though ODFL's terminal network would remain valuable. ESG risk is notable: 24% of shareholders supported Paris-aligned emission targets and management has resisted engagement, creating governance friction that could escalate [3]. Q1 2026 results due April 29 will be the next key catalyst to confirm or deny the recovery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on April 29 — freight cycle inflection and operating ratio recovery would validate the premium valuation [1]</w:t>
      </w:r>
    </w:p>
    <w:p>
      <w:pPr>
        <w:spacing w:before="40" w:after="40"/>
        <w:ind w:left="283"/>
      </w:pPr>
      <w:r>
        <w:rPr>
          <w:rFonts w:ascii="Calibri" w:hAnsi="Calibri"/>
          <w:b/>
          <w:color w:val="4A6B25"/>
          <w:sz w:val="20"/>
        </w:rPr>
        <w:t xml:space="preserve">2. </w:t>
      </w:r>
      <w:r>
        <w:rPr>
          <w:rFonts w:ascii="Calibri" w:hAnsi="Calibri"/>
          <w:b w:val="0"/>
          <w:color w:val="3A4A28"/>
          <w:sz w:val="20"/>
        </w:rPr>
        <w:t>Post-Yellow market share gains continue to accrue as industrial activity recovers, with ODFL capturing premium-service customers at above-market pricing [1]</w:t>
      </w:r>
    </w:p>
    <w:p>
      <w:pPr>
        <w:spacing w:before="40" w:after="40"/>
        <w:ind w:left="283"/>
      </w:pPr>
      <w:r>
        <w:rPr>
          <w:rFonts w:ascii="Calibri" w:hAnsi="Calibri"/>
          <w:b/>
          <w:color w:val="4A6B25"/>
          <w:sz w:val="20"/>
        </w:rPr>
        <w:t xml:space="preserve">3. </w:t>
      </w:r>
      <w:r>
        <w:rPr>
          <w:rFonts w:ascii="Calibri" w:hAnsi="Calibri"/>
          <w:b w:val="0"/>
          <w:color w:val="3A4A28"/>
          <w:sz w:val="20"/>
        </w:rPr>
        <w:t>AI, analytics, and automation deployment (dispatch, yield management, RFID tracking) could drive 100-200 bps of operating ratio improvement through the 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(43.5x P/E, 34.6x forward) leaves little margin for error if the freight recession extends into 2027 [4]</w:t>
      </w:r>
    </w:p>
    <w:p>
      <w:pPr>
        <w:spacing w:before="40" w:after="40"/>
        <w:ind w:left="283"/>
      </w:pPr>
      <w:r>
        <w:rPr>
          <w:rFonts w:ascii="Calibri" w:hAnsi="Calibri"/>
          <w:b/>
          <w:color w:val="4A6B25"/>
          <w:sz w:val="20"/>
        </w:rPr>
        <w:t xml:space="preserve">2. </w:t>
      </w:r>
      <w:r>
        <w:rPr>
          <w:rFonts w:ascii="Calibri" w:hAnsi="Calibri"/>
          <w:b w:val="0"/>
          <w:color w:val="3A4A28"/>
          <w:sz w:val="20"/>
        </w:rPr>
        <w:t>ESG governance risk — 24% shareholder support for Paris-aligned emission targets combined with management's refusal to engage creates escalating friction with institutional investors [3]</w:t>
      </w:r>
    </w:p>
    <w:p>
      <w:pPr>
        <w:spacing w:before="40" w:after="40"/>
        <w:ind w:left="283"/>
      </w:pPr>
      <w:r>
        <w:rPr>
          <w:rFonts w:ascii="Calibri" w:hAnsi="Calibri"/>
          <w:b/>
          <w:color w:val="4A6B25"/>
          <w:sz w:val="20"/>
        </w:rPr>
        <w:t xml:space="preserve">3. </w:t>
      </w:r>
      <w:r>
        <w:rPr>
          <w:rFonts w:ascii="Calibri" w:hAnsi="Calibri"/>
          <w:b w:val="0"/>
          <w:color w:val="3A4A28"/>
          <w:sz w:val="20"/>
        </w:rPr>
        <w:t>Autonomous trucking is a long-term threat that could compress driver economics and shift value toward technology providers if deployment accelerates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LTL freight is a physical, asset-heavy, relationship-driven business that is structurally insulated from direct AI disruption — trucks, terminals, drivers, and dock operations require physical execution [2]. ODFL is actively leveraging AI/automation in dispatch optimization, route planning, load matching, pricing, and RFID-based tracking to improve operating ratio [2]. The main AI risk is autonomous trucks over a long horizon, which could eventually pressure driver economics, but ODFL's network density and service center footprint would remain valuable assets. AI Opportunity (1/1): Analytics-driven yield management, predictive maintenance, and operational efficiency gains offer incremental margin expansion opportunities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Simply Wall St / Nasdaq / ODFL IR — full-year 2025 and Q4 2025 results: 5.5% revenue decline, 11.7% EPS drop, 75.2% operating ratio, 99% on-time performance</w:t>
      </w:r>
    </w:p>
    <w:p>
      <w:pPr>
        <w:spacing w:before="20" w:after="20"/>
        <w:ind w:left="170"/>
      </w:pPr>
      <w:r>
        <w:rPr>
          <w:rFonts w:ascii="Calibri" w:hAnsi="Calibri"/>
          <w:b/>
          <w:color w:val="4A6B25"/>
          <w:sz w:val="15"/>
        </w:rPr>
        <w:t xml:space="preserve">2. </w:t>
      </w:r>
      <w:r>
        <w:rPr>
          <w:rFonts w:ascii="Calibri" w:hAnsi="Calibri"/>
          <w:b w:val="0"/>
          <w:color w:val="3A4A28"/>
          <w:sz w:val="17"/>
        </w:rPr>
        <w:t>ODFL Management Team page, Comparably, Glassdoor — CEO Kevin 'Marty' Freeman tenure, 3.9/5 Glassdoor rating, AI/analytics initiatives and VP of Technology commentary</w:t>
      </w:r>
    </w:p>
    <w:p>
      <w:pPr>
        <w:spacing w:before="20" w:after="20"/>
        <w:ind w:left="170"/>
      </w:pPr>
      <w:r>
        <w:rPr>
          <w:rFonts w:ascii="Calibri" w:hAnsi="Calibri"/>
          <w:b/>
          <w:color w:val="4A6B25"/>
          <w:sz w:val="15"/>
        </w:rPr>
        <w:t xml:space="preserve">3. </w:t>
      </w:r>
      <w:r>
        <w:rPr>
          <w:rFonts w:ascii="Calibri" w:hAnsi="Calibri"/>
          <w:b w:val="0"/>
          <w:color w:val="3A4A28"/>
          <w:sz w:val="17"/>
        </w:rPr>
        <w:t>Trucking Dive / As You Sow / ICCR — shareholder proposal for Paris-aligned emission targets with 24% support and management resistance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ODFL,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