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ODV</w:t>
      </w:r>
      <w:r>
        <w:rPr>
          <w:rFonts w:ascii="Calibri" w:hAnsi="Calibri"/>
          <w:b/>
          <w:color w:val="1A2010"/>
          <w:sz w:val="40"/>
        </w:rPr>
        <w:t xml:space="preserve">  Osisko Development Corp.</w:t>
      </w:r>
    </w:p>
    <w:p>
      <w:pPr>
        <w:spacing w:after="120"/>
      </w:pPr>
      <w:r>
        <w:rPr>
          <w:rFonts w:ascii="Calibri" w:hAnsi="Calibri"/>
          <w:b/>
          <w:color w:val="6E8450"/>
          <w:sz w:val="18"/>
        </w:rPr>
        <w:t>GROWTH SLEEVE · 2026-04-11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Osisko Development Corp. is a North American gold development company focused on advancing past-producing mining properties. Its flagship asset is the fully-permitted, 100%-owned Cariboo Gold Project in British Columbia, Canada, alongside the Tintic Project in Utah. The company aims to become an intermediate gold producer through responsible and sustainable mining practices.</w:t>
      </w:r>
    </w:p>
    <w:p>
      <w:r>
        <w:rPr>
          <w:rFonts w:ascii="Calibri" w:hAnsi="Calibri"/>
          <w:b/>
          <w:color w:val="6E8450"/>
          <w:sz w:val="18"/>
        </w:rPr>
        <w:t>300 Employees · https://osiskodev.com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Osisko Development has advanced the Cariboo Gold Project through permitting and early underground development, and initiated small-scale heap leach gold recovery at Tintic producing 6,240 ounces in FY2025 [1]. AI Deployment (0/2): No AI deployment or strategy evident in any public filings or commentary — the company operates conventional underground mining development. Market Share Leadership (1/2): The company controls two historically significant mining districts (Cariboo and Tintic) but is pre-production and holds no meaningful market share in gold production [1]. Product Pipeline (1/2): The Cariboo Gold Project has a defined development timeline with underground development spending of $40.2M planned for 2026, plus resource conversion and directional drilling programs [1]. R&amp;D Intensity (0/1): No R&amp;D spending reported; the company focuses capital on mine development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Osisko Development articulates a purpose around 'responsible mining practices with a vision of building modern, safe, socially and environmentally sustainable mining operations' [2] — clear and identifies stakeholders but not distinctive among mining peers. Community Impact (1/2): The company references community engagement and reciprocal relationships with stakeholders, including Indigenous communities, though specific dollar amounts for charitable programs are not disclosed [3]. Employee Retention (0/2): No retention data, tenure statistics, or voluntary turnover figures available for this small development-stage company. Insider Buying (1/2): CEO Sean Roosen founded the company and maintains significant ownership; the company raised $82.5M in a Q4 2024 private placement suggesting insider confidence, though specific open-market purchases were not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The company benefits from a strong balance sheet with D/E of only 21.2% and $422.3M CAD cash against $145.8M CAD debt as of year-end 2025 [1]. Revenue surged from $4.6M to $35.5M in FY2025 driven by Tintic heap leach operations, but ROE is deeply negative at -25.4% reflecting the pre-production development stage. Profit margin is essentially zero. Forward P/E and PEG are unavailable due to negative earnings. Score computed on 5 available metrics with growth-stock weightings: D/E (1.0), ROE (0.0, 2x), Rev Growth YoY (1.0), Rev Growth 5yr CAGR (1.0, 2x), Profit Margin (0.0). Weighted sum 4.0 / max 7.0 = 5.7, rounded to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Osisko Development shows elements of infinite game thinking through CEO Sean Roosen's serial mining company building over 30+ years and the company's emphasis on sustainable community relationships, but as a pre-production development company it has limited track record to validate long-term cause beyond the immediate Cariboo Gold Project buildout.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purpose around 'building modern, safe, socially and environmentally sustainable mining operations' and creating 'lasting legacies for future generations' [2]. While this is more than generic shareholder value language, it is not deeply distinctive — most modern mining companies claim similar sustainability commitments. The cause has not yet been tested through crisis or multi-decade consistency at this specific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shows stability with experienced executives averaging 30+ years in the mining industry [2]. CEO Roosen's track record of founding multiple successful Osisko entities (Osisko Mining Corp, Osisko Gold Royalties, now Osisko Development) suggests he builds teams that stay through company lifecycles. However, no specific employee turnover data, cultural programs, or psychological safety evidence is available for this small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for self-improvement. Public communications focus on the company's own project milestones rather than learning from industry peers. As a development-stage company, competitive positioning is framed primarily around asset quality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Roosen demonstrated flexibility by pivoting from Osisko Mining Corp (which was ultimately acquired by Agnico Eagle) to founding Osisko Gold Royalties (a different business model) and then Osisko Development, showing willingness to adapt the corporate vehicle while maintaining a focus on the Cariboo district [2]. The transitions were incremental rather than transformative, and each entity maintained a gold-mining focus.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Advancing the Cariboo Gold Project through a multi-year permitting and development process requiring hundreds of millions in upfront capital before generating meaningful revenue demonstrates willingness to sacrifice short-term results for long-term capability [1]. The $422M cash position built through multiple equity raises reflects leadership's conviction, though the strategy is untested against the ultimate production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Osisko Development offers speculative upside as a well-funded gold development company with $422M CAD cash, a fully-permitted flagship project (Cariboo Gold) in British Columbia, and early-stage production at Tintic generating $35.5M revenue in FY2025 from 6,240 ounces of gold [1]. CEO Sean Roosen's track record of building and monetizing mining assets (Osisko Mining Corp sold to Agnico Eagle, Osisko Gold Royalties) provides credibility, and the company's low D/E ratio of 21% provides balance sheet flexibility for the capital-intensive development phase ahead.</w:t>
      </w:r>
    </w:p>
    <w:p>
      <w:pPr>
        <w:spacing w:after="120"/>
      </w:pPr>
      <w:r>
        <w:rPr>
          <w:rFonts w:ascii="Calibri" w:hAnsi="Calibri"/>
          <w:b w:val="0"/>
          <w:color w:val="3A4A28"/>
          <w:sz w:val="20"/>
        </w:rPr>
        <w:t>The bear case centers on significant execution risk: Cariboo Gold requires substantial additional capital expenditure ($40.2M in underground development alone for 2026) before reaching commercial production, and the company burns cash with negative ROE of -25% and zero profit margin [1]. Gold price sensitivity is extreme for a pre-production miner — a sustained gold price decline could make the Cariboo project uneconomic. Dilution risk is material given the company's pattern of equity raises ($143.8M USD offering in February 2026, $82.5M private placement in Q4 2024) that erode per-share value for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Cariboo Gold Project advancing through underground development with $40.2M allocated for 2026, moving toward commercial production decision</w:t>
      </w:r>
    </w:p>
    <w:p>
      <w:pPr>
        <w:spacing w:before="40" w:after="40"/>
        <w:ind w:left="283"/>
      </w:pPr>
      <w:r>
        <w:rPr>
          <w:rFonts w:ascii="Calibri" w:hAnsi="Calibri"/>
          <w:b/>
          <w:color w:val="4A6B25"/>
          <w:sz w:val="20"/>
        </w:rPr>
        <w:t xml:space="preserve">2. </w:t>
      </w:r>
      <w:r>
        <w:rPr>
          <w:rFonts w:ascii="Calibri" w:hAnsi="Calibri"/>
          <w:b w:val="0"/>
          <w:color w:val="3A4A28"/>
          <w:sz w:val="20"/>
        </w:rPr>
        <w:t>Gold prices at or near record highs in 2025-2026 supporting project economics and potential for expanded resource estimates</w:t>
      </w:r>
    </w:p>
    <w:p>
      <w:pPr>
        <w:spacing w:before="40" w:after="40"/>
        <w:ind w:left="283"/>
      </w:pPr>
      <w:r>
        <w:rPr>
          <w:rFonts w:ascii="Calibri" w:hAnsi="Calibri"/>
          <w:b/>
          <w:color w:val="4A6B25"/>
          <w:sz w:val="20"/>
        </w:rPr>
        <w:t xml:space="preserve">3. </w:t>
      </w:r>
      <w:r>
        <w:rPr>
          <w:rFonts w:ascii="Calibri" w:hAnsi="Calibri"/>
          <w:b w:val="0"/>
          <w:color w:val="3A4A28"/>
          <w:sz w:val="20"/>
        </w:rPr>
        <w:t>Tintic Project heap leach operations scaling from 6,240 ounces in 2025 to potential interim cash flow generation while Cariboo develops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stage with negative earnings and sustained cash burn requiring continued equity dilution — $226M raised across two offerings in late 2024/early 2025</w:t>
      </w:r>
    </w:p>
    <w:p>
      <w:pPr>
        <w:spacing w:before="40" w:after="40"/>
        <w:ind w:left="283"/>
      </w:pPr>
      <w:r>
        <w:rPr>
          <w:rFonts w:ascii="Calibri" w:hAnsi="Calibri"/>
          <w:b/>
          <w:color w:val="4A6B25"/>
          <w:sz w:val="20"/>
        </w:rPr>
        <w:t xml:space="preserve">2. </w:t>
      </w:r>
      <w:r>
        <w:rPr>
          <w:rFonts w:ascii="Calibri" w:hAnsi="Calibri"/>
          <w:b w:val="0"/>
          <w:color w:val="3A4A28"/>
          <w:sz w:val="20"/>
        </w:rPr>
        <w:t>Gold price sensitivity: Cariboo project economics are highly leveraged to gold prices, and a sustained decline below project cost curves could strand the asset</w:t>
      </w:r>
    </w:p>
    <w:p>
      <w:pPr>
        <w:spacing w:before="40" w:after="40"/>
        <w:ind w:left="283"/>
      </w:pPr>
      <w:r>
        <w:rPr>
          <w:rFonts w:ascii="Calibri" w:hAnsi="Calibri"/>
          <w:b/>
          <w:color w:val="4A6B25"/>
          <w:sz w:val="20"/>
        </w:rPr>
        <w:t xml:space="preserve">3. </w:t>
      </w:r>
      <w:r>
        <w:rPr>
          <w:rFonts w:ascii="Calibri" w:hAnsi="Calibri"/>
          <w:b w:val="0"/>
          <w:color w:val="3A4A28"/>
          <w:sz w:val="20"/>
        </w:rPr>
        <w:t>Execution risk on Cariboo underground development: mining at depth in a historical district carries geological uncertainty and potential cost overruns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involving underground development, ore extraction, processing, and environmental management — activities that AI structurally cannot displace [2]. The business requires geological expertise, heavy equipment operation, regulatory permitting, and Indigenous community engagement that depend on human judgment and physical presence. AI may marginally improve geological modeling and ore body prediction but poses zero substitution risk to the core business. Rising AI infrastructure demand (data centers) indirectly supports gold prices as a hedge against currency dilution from massive tech capex. AI Opportunity (0/1): No AI-related revenue streams; the company does not deploy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Osisko Development Q4 and FY2025 Earnings Release, GlobeNewsWire, March 28, 2026</w:t>
      </w:r>
    </w:p>
    <w:p>
      <w:pPr>
        <w:spacing w:before="20" w:after="20"/>
        <w:ind w:left="170"/>
      </w:pPr>
      <w:r>
        <w:rPr>
          <w:rFonts w:ascii="Calibri" w:hAnsi="Calibri"/>
          <w:b/>
          <w:color w:val="4A6B25"/>
          <w:sz w:val="15"/>
        </w:rPr>
        <w:t xml:space="preserve">2. </w:t>
      </w:r>
      <w:r>
        <w:rPr>
          <w:rFonts w:ascii="Calibri" w:hAnsi="Calibri"/>
          <w:b w:val="0"/>
          <w:color w:val="3A4A28"/>
          <w:sz w:val="17"/>
        </w:rPr>
        <w:t>Osisko Development Corp. About Us page, osiskodev.com,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Osisko Mining Sustainable Development Reports 2020-2021, osiskomining.com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