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OHI</w:t>
      </w:r>
      <w:r>
        <w:rPr>
          <w:rFonts w:ascii="Calibri" w:hAnsi="Calibri"/>
          <w:b/>
          <w:color w:val="1A2010"/>
          <w:sz w:val="40"/>
        </w:rPr>
        <w:t xml:space="preserve">  Omega Healthcare Investors, Inc.</w:t>
      </w:r>
    </w:p>
    <w:p>
      <w:pPr>
        <w:spacing w:after="120"/>
      </w:pPr>
      <w:r>
        <w:rPr>
          <w:rFonts w:ascii="Calibri" w:hAnsi="Calibri"/>
          <w:b/>
          <w:color w:val="6E8450"/>
          <w:sz w:val="18"/>
        </w:rPr>
        <w:t>DIVIDEND SLEEVE · 2026-04-20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Omega Healthcare Investors is a Real Estate Investment Trust providing financing and capital to the long-term healthcare industry in the United States and United Kingdom, with a focus on skilled nursing and assisted living facilities. As of late 2025, Omega's portfolio includes 1,024 operating facilities in 42 states, the District of Columbia, and the UK/Jersey, operated by 88 different operators.</w:t>
      </w:r>
    </w:p>
    <w:p>
      <w:r>
        <w:rPr>
          <w:rFonts w:ascii="Calibri" w:hAnsi="Calibri"/>
          <w:b/>
          <w:color w:val="6E8450"/>
          <w:sz w:val="18"/>
        </w:rPr>
        <w:t>69 Employees · https://www.omegahealthcare.com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Omega has meaningfully diversified its portfolio beyond U.S. skilled nursing — UK/Jersey operations now represent 290 of 1,024 facilities, and the company deployed approximately $1.1B of capital in 2025, directing roughly two-thirds into senior housing and UK assets, representing a strategic pivot from its traditional SNF-only model [1]. AI Deployment (1/2): Omega made a strategic investment in MedaSync, an AI-driven reimbursement optimization platform for skilled nursing facilities that reduces revenue leakage by up to 15% in pilot programs [2]. This is operator-level AI enablement rather than direct product shipping, but demonstrates proactive AI adoption. Market Share (1/2): Omega is one of the largest healthcare REITs in the U.S. with 1,024 facilities across 88 operators, though it competes with Sabra Health Care, CareTrust, and National Health Investors for operator relationships and acquisition pipeline [1]. Pipeline (1/2): The RIDEA (REIT Investment Diversification and Empowerment Act) strategy represents a new operating model that gives Omega direct exposure to senior housing operations rather than pure triple-net leases, expanding the addressable opportunity set [1]. R&amp;D Intensity (0/1): Not applicable for a healthcare REIT — capital deployment replaces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Omega's stated purpose — to be 'a source of capital to the healthcare industry' by identifying 'long-term investments in quality healthcare properties with outstanding operators' — is clear and identifies who the company serves, but is functional rather than inspirational and could describe any healthcare REIT [3]. Community Impact (1/2): Omega sponsors Administrators in Training (AIT) programs at select facilities to develop the next generation of skilled nursing leaders, with a focus on enhancing representation of underrepresented groups in senior operator roles [4]. The company's ESG program includes LEED-certified development and a sustainability capital expenditure incentive program for operators. Employee Retention (0/2): With only 69 full-time employees, Omega operates as a lean investment management team. No specific retention metrics or voluntary turnover data are publicly available. Insider Buying (1/2): CEO C. Taylor Pickett's 24+ year tenure demonstrates deep alignment with the company's long-term direction. Recent leadership changes including Matthew Gourmand as President and Vikas Gupta as CIO signal planned succession rather than disruption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Omega's financial profile reflects a typical healthcare REIT with strong revenue generation but REIT-specific structural constraints. D/E of 79.0% is slightly above the 70% target but well-managed for a real estate business [5]. ROE of 12.0% trails the 15% target, compressed by REIT capital structure requirements. Revenue grew 14.3% YoY to $1.19B driven by new acquisitions and rent escalators, with an estimated 5yr CAGR of ~8.3% [1][5]. Forward P/E of 22.7x is slightly above the 20x target but reasonable for a yield-oriented REIT. Profit margin of 49.6% is exceptionally strong, reflecting the capital-light triple-net lease model. The dividend profile is mixed: 33 consecutive years of payments demonstrates reliability, but the 5.72% yield comes with a 138% GAAP payout ratio (typical for REITs where FFO payout is more relevant), zero consecutive years of dividend growth since the rate has been flat at $2.68/share since 2020, and near-zero 5yr dividend growth CAGR of 0.2% [5]. Liquidity is adequate at $96.2M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Omega Healthcare demonstrates meaningful infinite game characteristics through CEO Pickett's 24-year tenure and consistent commitment to being the premier capital source for long-term healthcare facilities. The company has shown strategic flexibility in diversifying into UK operations and senior housing, and navigated the Genesis bankruptcy with discipline. However, the flat dividend since 2020 and reliance on acquisitive growth over organic innovation reflect a pragmatic rather than visionary approach to long-term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Omega's purpose — providing capital to support quality long-term healthcare for aging populations — connects the company's work to a genuine societal need that transcends quarterly earnings (2/3 pts). CEO Pickett's 24-year tenure demonstrates sustained commitment to this cause through multiple healthcare cycles, including the COVID crisis that devastated skilled nursing occupancy. The company's expansion into the UK reflects a belief that the healthcare capital mission extends beyond U.S. borders [1]. However, the cause is more functional than transformative — Omega is a financing vehicle rather than a healthcare innovator, and its purpose doesn't clearly differentiate from peers like Sabra or CareTrust.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Omega operates with a lean 69-person team under stable leadership, suggesting adequate organizational trust (1/2 pts). The recent leadership transitions — elevating Matthew Gourmand to President and Vikas Gupta to CIO — represent orderly succession planning rather than disruptive changes [2]. CEO Pickett's 24-year tenure provides leadership continuity that few REITs can match. However, with such a small employee base, there is limited evidence to evaluate broader cultural health, and no specific retention or turnover data are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acknowledges the competitive landscape with intellectual honesty — the Q4 2025 earnings call referenced 'active capital deployment' in the context of competitive deal flow, and Omega uses competitive pressure from peers like Sabra, CareTrust, and National Health Investors to sharpen its underwriting discipline and operator selection (1/1 pt) [1]. The company's pivot toward senior housing and UK assets reflects learning from competitors' earlier diversification efforts.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Omega has shown incremental strategic evolution — expanding from U.S.-only skilled nursing into UK care homes (290 facilities), moving into senior housing, and adopting the RIDEA operating structure that gives direct operational exposure rather than pure triple-net leases (1/2 pts) [1]. The MedaSync AI investment represents early-stage technological adaptation. However, these are evolutionary extensions of the core model rather than transformative reinventions — Omega remains fundamentally a healthcare facility financing vehicle.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Omega demonstrated courage in navigating the Genesis Health Care bankruptcy — its largest operator — by maintaining dividend payments and working through the restructuring rather than panic-selling assets (1/2 pts) [1]. The company maintained its $2.68/share annual dividend through COVID-era occupancy declines when many REITs cut dividends. However, the flat dividend since 2020 also reflects a conservative approach that prioritizes balance sheet repair over rewarding shareholders, and the $1.1B capital deployment in 2025 follows industry trends rather than leading them.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Omega Healthcare Investors offers a compelling 5.72% dividend yield backed by 33 consecutive years of payments and a recovering skilled nursing portfolio. Q4 2025 revenue climbed to $319M (+14.3% YoY) with net income jumping to $172M ($0.55/share vs. $0.41 prior year), and 2026 AFFO guidance of $3.15-$3.25/share implies continued earnings expansion [1]. The $1.1B capital deployment in 2025 — with two-thirds directed toward senior housing and UK assets — demonstrates successful diversification beyond U.S. skilled nursing, reducing operator concentration risk. The aging demographic tailwind (65+ population growing ~3% annually) provides secular demand support, and Omega's 1,024-facility portfolio across 88 operators creates scale advantages in deal sourcing and underwriting. At a forward P/E of 22.7x and 0.58 beta, the stock offers defensive income characteristics.</w:t>
      </w:r>
    </w:p>
    <w:p>
      <w:pPr>
        <w:spacing w:after="120"/>
      </w:pPr>
      <w:r>
        <w:rPr>
          <w:rFonts w:ascii="Calibri" w:hAnsi="Calibri"/>
          <w:b w:val="0"/>
          <w:color w:val="3A4A28"/>
          <w:sz w:val="20"/>
        </w:rPr>
        <w:t>The bear case centers on dividend stagnation and operator credit risk. Omega's dividend has been frozen at $2.68/share since 2020 — six consecutive years without a raise — while inflation has eroded the real yield by approximately 20% [5]. The GAAP payout ratio of 138% is unsustainable (though FFO-based payout is more relevant for REITs), and AFFO guidance of $3.15-$3.25 leaves only modest coverage. Genesis Health Care's bankruptcy exposed the operator concentration risk inherent in triple-net healthcare REITs, and any future large operator distress could force asset write-downs. The RIDEA strategy, while diversifying revenue, introduces operating risk that pure triple-net REITs avoid. ROE of 12% trails peers, and the PEG ratio of 12.0x suggests the market prices in limited growth. Skilled nursing facilities face persistent staffing shortages that pressure operator profitability and, ultimately, rent coverage ratios.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Resumption of dividend growth — if AFFO reaches the high end of $3.25/share guidance, Omega would have sufficient coverage to announce its first dividend increase since 2019, which could catalyze a meaningful re-rating among income-focused investors [1]</w:t>
      </w:r>
    </w:p>
    <w:p>
      <w:pPr>
        <w:spacing w:before="40" w:after="40"/>
        <w:ind w:left="283"/>
      </w:pPr>
      <w:r>
        <w:rPr>
          <w:rFonts w:ascii="Calibri" w:hAnsi="Calibri"/>
          <w:b/>
          <w:color w:val="4A6B25"/>
          <w:sz w:val="20"/>
        </w:rPr>
        <w:t xml:space="preserve">2. </w:t>
      </w:r>
      <w:r>
        <w:rPr>
          <w:rFonts w:ascii="Calibri" w:hAnsi="Calibri"/>
          <w:b w:val="0"/>
          <w:color w:val="3A4A28"/>
          <w:sz w:val="20"/>
        </w:rPr>
        <w:t>RIDEA strategy execution — direct senior housing operations could deliver higher risk-adjusted returns than triple-net leases, potentially expanding the addressable market and improving portfolio-level growth rates [1]</w:t>
      </w:r>
    </w:p>
    <w:p>
      <w:pPr>
        <w:spacing w:before="40" w:after="40"/>
        <w:ind w:left="283"/>
      </w:pPr>
      <w:r>
        <w:rPr>
          <w:rFonts w:ascii="Calibri" w:hAnsi="Calibri"/>
          <w:b/>
          <w:color w:val="4A6B25"/>
          <w:sz w:val="20"/>
        </w:rPr>
        <w:t xml:space="preserve">3. </w:t>
      </w:r>
      <w:r>
        <w:rPr>
          <w:rFonts w:ascii="Calibri" w:hAnsi="Calibri"/>
          <w:b w:val="0"/>
          <w:color w:val="3A4A28"/>
          <w:sz w:val="20"/>
        </w:rPr>
        <w:t>Aging population demographic wave — the 65+ cohort is the fastest-growing segment of the U.S. population, driving secular demand for skilled nursing beds and post-acute care facilities that directly benefits Omega's occupancy and rent coverage metrics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Operator credit deterioration — Omega's triple-net lease model depends on operator profitability, and persistent skilled nursing staffing shortages (vacancy rates above 20% nationally) pressure operator margins and rent coverage ratios, creating potential for lease restructurings or defaults [1]</w:t>
      </w:r>
    </w:p>
    <w:p>
      <w:pPr>
        <w:spacing w:before="40" w:after="40"/>
        <w:ind w:left="283"/>
      </w:pPr>
      <w:r>
        <w:rPr>
          <w:rFonts w:ascii="Calibri" w:hAnsi="Calibri"/>
          <w:b/>
          <w:color w:val="4A6B25"/>
          <w:sz w:val="20"/>
        </w:rPr>
        <w:t xml:space="preserve">2. </w:t>
      </w:r>
      <w:r>
        <w:rPr>
          <w:rFonts w:ascii="Calibri" w:hAnsi="Calibri"/>
          <w:b w:val="0"/>
          <w:color w:val="3A4A28"/>
          <w:sz w:val="20"/>
        </w:rPr>
        <w:t>Interest rate sensitivity — as a high-yield REIT, OHI competes with fixed income for capital allocation, and sustained higher-for-longer rates compress the yield spread that attracts income investors, while increasing Omega's borrowing costs on the 79% D/E balance sheet [5]</w:t>
      </w:r>
    </w:p>
    <w:p>
      <w:pPr>
        <w:spacing w:before="40" w:after="40"/>
        <w:ind w:left="283"/>
      </w:pPr>
      <w:r>
        <w:rPr>
          <w:rFonts w:ascii="Calibri" w:hAnsi="Calibri"/>
          <w:b/>
          <w:color w:val="4A6B25"/>
          <w:sz w:val="20"/>
        </w:rPr>
        <w:t xml:space="preserve">3. </w:t>
      </w:r>
      <w:r>
        <w:rPr>
          <w:rFonts w:ascii="Calibri" w:hAnsi="Calibri"/>
          <w:b w:val="0"/>
          <w:color w:val="3A4A28"/>
          <w:sz w:val="20"/>
        </w:rPr>
        <w:t>Dividend stagnation risk — six consecutive years without a dividend increase has frustrated income growth investors, and if AFFO growth disappoints, Omega may face another year of flat payments while peers like CareTrust and NHI resume growth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Omega's core business — owning and financing physical skilled nursing and assisted living facilities — is structurally immune to AI disruption. AI cannot replace the physical real estate, licensed beds, or hands-on patient care that skilled nursing facilities provide [1]. The aging U.S. population (65+ demographic growing at 3% annually) creates secular demand tailwinds that AI amplifies rather than threatens — AI-driven healthcare diagnostics and remote monitoring increase the pipeline of patients who need post-acute physical care. Regulatory requirements for licensed facility beds and staffing ratios create additional moats that AI cannot circumvent. Analysts view healthcare REITs as AI-immune infrastructure plays. AI Opportunity (0/1): Omega's MedaSync investment enables AI-driven reimbursement optimization for its operators, but this is an operator efficiency tool rather than a direct revenue stream for OHI [2]. Omega does not generate quantifiable AI-related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Omega Healthcare Investors Q4 &amp; Full Year 2025 Earnings Release — $319M Q4 revenue, $172M net income, 2026 AFFO guidance $3.15-$3.25/share, $1.1B capital deployment, February 2026</w:t>
      </w:r>
    </w:p>
    <w:p>
      <w:pPr>
        <w:spacing w:before="20" w:after="20"/>
        <w:ind w:left="170"/>
      </w:pPr>
      <w:r>
        <w:rPr>
          <w:rFonts w:ascii="Calibri" w:hAnsi="Calibri"/>
          <w:b/>
          <w:color w:val="4A6B25"/>
          <w:sz w:val="15"/>
        </w:rPr>
        <w:t xml:space="preserve">2. </w:t>
      </w:r>
      <w:r>
        <w:rPr>
          <w:rFonts w:ascii="Calibri" w:hAnsi="Calibri"/>
          <w:b w:val="0"/>
          <w:color w:val="3A4A28"/>
          <w:sz w:val="17"/>
        </w:rPr>
        <w:t>Omega Healthcare Investors leadership changes and MedaSync AI investment — CEO Pickett tenure, Gourmand/Gupta appointments, MedaSync reimbursement AI platform, January-August 2025</w:t>
      </w:r>
    </w:p>
    <w:p>
      <w:pPr>
        <w:spacing w:before="20" w:after="20"/>
        <w:ind w:left="170"/>
      </w:pPr>
      <w:r>
        <w:rPr>
          <w:rFonts w:ascii="Calibri" w:hAnsi="Calibri"/>
          <w:b/>
          <w:color w:val="4A6B25"/>
          <w:sz w:val="15"/>
        </w:rPr>
        <w:t xml:space="preserve">3. </w:t>
      </w:r>
      <w:r>
        <w:rPr>
          <w:rFonts w:ascii="Calibri" w:hAnsi="Calibri"/>
          <w:b w:val="0"/>
          <w:color w:val="3A4A28"/>
          <w:sz w:val="17"/>
        </w:rPr>
        <w:t>Omega Healthcare Investors corporate website — mission statement, investor relations, portfolio overview,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Omega Healthcare Investors ESG/Sustainability Report — AIT programs, LEED certification, sustainability capital incentives, 2024-2025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OHI (Omega Healthcare Investors),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