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OII</w:t>
      </w:r>
      <w:r>
        <w:rPr>
          <w:rFonts w:ascii="Calibri" w:hAnsi="Calibri"/>
          <w:b/>
          <w:color w:val="1A2010"/>
          <w:sz w:val="40"/>
        </w:rPr>
        <w:t xml:space="preserve">  Oceaneering International, Inc.</w:t>
      </w:r>
    </w:p>
    <w:p>
      <w:pPr>
        <w:spacing w:after="120"/>
      </w:pPr>
      <w:r>
        <w:rPr>
          <w:rFonts w:ascii="Calibri" w:hAnsi="Calibri"/>
          <w:b/>
          <w:color w:val="6E8450"/>
          <w:sz w:val="18"/>
        </w:rPr>
        <w:t>GROWTH SLEEVE · 2026-04-30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Oceaneering International provides engineered services and products, including remotely operated vehicles (ROVs), subsea robotics, manufactured products, and aerospace/defense technology solutions. The company serves offshore energy, defense, aerospace, manufacturing, and entertainment industries, with operations spanning subsea robotics, manufactured products, offshore projects, integrity management, and aerospace/defense technology.</w:t>
      </w:r>
    </w:p>
    <w:p>
      <w:r>
        <w:rPr>
          <w:rFonts w:ascii="Calibri" w:hAnsi="Calibri"/>
          <w:b/>
          <w:color w:val="6E8450"/>
          <w:sz w:val="18"/>
        </w:rPr>
        <w:t>11,100 Employees · https://www.oceaneering.com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Oceaneering has diversified beyond pure offshore energy into aerospace/defense technology (ADTech), which posted 35% revenue growth in Q1 2026, but the core business remains subsea ROV operations and offshore services — evolution rather than transformation [1]. AI Deployment (1/2): The company integrates digital and robotic solutions into subsea operations, with autonomous underwater vehicles and digital twin technology for asset integrity management generating measurable efficiency gains for offshore operators [2]. Market Share (2/2): Oceaneering is the global leader in ROV fleet size and subsea robotics, with over $300M in Q1 2026 Subsea Robotics orders and approximately $1B total order intake in the quarter, demonstrating dominant market position in a specialized niche [1]. Pipeline (1/2): Manufactured Products margins improved to 18% and ADTech grew 35% with $175M in Q1 awards, showing pipeline visibility; the $390-440M EBITDA guidance for FY2026 implies steady execution but not accelerating growth [1]. R&amp;D Intensity (0/1): R&amp;D intensity is below peers in the broader energy technology space; innovation is application-level rather than fundamental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Oceaneering's stated vision of 'solving the unsolvable' in challenging environments is energizing but generic — it describes the company's capability rather than a purpose that transcends industry. Glassdoor reviews reference 'audacious vision' but the mission lacks specificity about a future state the company is building toward [2]. Community Impact (1/2): The company employs 11,100 people globally, publishes gender pay gap reports for U.K. operations, and maintains formal ethics and compliance programs, but no distinctive charitable or community programs were identified [3]. Employee Retention (2/2): Strong employee satisfaction — Glassdoor rating of 3.9/5 with 79% of employees recommending the company and 73% positive outlook; reviews highlight 'strong leadership' and 'wonderful culture' with CEO Rod Larson serving 11+ years as CEO [2]. Insider Buying (0/2): Significant net insider selling in February-March 2026 — COO Benjamin Laura sold $1.43M, Director McEvoy sold $906K, officer Kriendler sold $933K, and multiple other officers sold shares; no meaningful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Oceaneering's financial profile is solid for an oilfield services company. Q1 2026 revenue grew 3% to $692.4M with full-year EBITDA guidance of $390-440M reaffirmed [1]. Trailing P/E of 10.7x and forward P/E of 17.4x are reasonable for the sector. ROE of 35.9% is strong, though profit margin of 12.1% is moderate and compressed from prior year (Q1 operating margin fell from 11% to 8%) [1]. Revenue has grown from $2.07B in 2022 to $2.78B in 2025 (3-year CAGR of 10.5%), reflecting steady recovery in offshore activity. D/E of 76.3% is slightly above the 70% target but manageable. The PEG ratio of 8.01 is extremely high, reflecting the low forward growth rate relative to valuation. Liquidity check passed: 1.33M avg volume x $36.00 = $47.9M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Oceaneering under CEO Rod Larson (11+ years) demonstrates steady long-term focus on maintaining global leadership in subsea robotics while diversifying into defense and aerospace. The company has navigated the brutal 2015-2020 offshore downturn by investing in ROV technology and adjacent markets. However, as a cyclical energy services company dependent on offshore capex budgets, its long-term trajectory is constrained by industry cycles rather than shaped by an internal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Oceaneering's 'solving the unsolvable' vision is energizing but generic — it describes a capability rather than a Just Cause. The company exists to serve offshore energy and defense customers with engineered solutions, which is valuable but doesn't articulate a vision of a future state worth sacrificing for. It's an operational identity, not a movement (1 point)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trust indicators — Glassdoor rating of 3.9/5 with 79% recommendation rate and 73% positive outlook. Reviews describe 'strong leadership' and 'wonderful culture.' CEO Larson's 11+ year tenure and promotion of leaders like COO Benjamin Laura from within show organizational stability. However, some reviews note the company is 'slow to adapt internally' despite external innovation, suggesting moderate bureaucratic friction (2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Oceaneering's competitive language focuses on market leadership and dominant ROV fleet size rather than learning from rivals. The company frames its position in terms of being the largest and most capable, which is a finite competitive framing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Oceaneering has demonstrated meaningful strategic evolution — diversifying from pure offshore energy into aerospace/defense technology (ADTech growing 35% in Q1 2026) and entertainment industries while maintaining subsea core. This is incremental diversification rather than transformative reinvention, but navigating the 2015-2020 offshore downturn without collapse showed adaptive capacity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Larson maintained R&amp;D investment and strategic focus during the severe 2015-2020 offshore downturn, investing in next-generation ROV technology and ADTech diversification when the industry was retrenching. The company reaffirmed FY2026 EBITDA guidance of $390-440M despite Middle East uncertainty, showing confidence in the business. However, the heavy insider selling in February 2026 across multiple executives is a concerning signal (1 point)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Oceaneering International is the global leader in subsea robotics and ROV operations, trading at an attractive 10.7x trailing P/E with a diversified revenue base of $2.78B across energy services, manufactured products, and defense/aerospace technology [1]. Q1 2026 order intake of approximately $1B — including $300M+ in Subsea Robotics and $175M in ADTech — provides strong backlog visibility supporting FY2026 EBITDA guidance of $390-440M [1]. ROE of 35.9% demonstrates efficient capital deployment, and the 3-year revenue CAGR of 10.5% reflects steady recovery in offshore activity. ADTech's 35% revenue growth provides counter-cyclical diversification against offshore energy cycles. At $36 per share, the stock trades near its 52-week midpoint with strong cash generation supporting potential shareholder returns.</w:t>
      </w:r>
    </w:p>
    <w:p>
      <w:pPr>
        <w:spacing w:after="120"/>
      </w:pPr>
      <w:r>
        <w:rPr>
          <w:rFonts w:ascii="Calibri" w:hAnsi="Calibri"/>
          <w:b w:val="0"/>
          <w:color w:val="3A4A28"/>
          <w:sz w:val="20"/>
        </w:rPr>
        <w:t>The bear case centers on cyclical risk and margin compression. Q1 2026 operating margin fell from 11% to 8% and net income declined 28% to $36.1M despite 3% revenue growth — costs are rising faster than revenue [1]. EPS is expected to decline from $3.36 trailing to $2.07 forward, implying meaningful margin pressure ahead. The PEG ratio of 8.01 is extremely elevated, reflecting minimal earnings growth expectations relative to current valuation. Oceaneering is fundamentally tied to offshore oil and gas capex cycles, and any sustained decline in deepwater spending would compress revenue and margins. Heavy insider selling across multiple executives in February-March 2026 (COO, directors, officers totaling $5M+) signals potential near-term concerns [4]. The company discontinued its dividend in 2017 and has not reinstated it, limiting shareholder return options. D/E of 76.3% constrains financial flexibility for cyclical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ADTech segment scaling — 35% revenue growth and $175M Q1 order intake provides counter-cyclical diversification and margin expansion potential as defense budgets increase [1]</w:t>
      </w:r>
    </w:p>
    <w:p>
      <w:pPr>
        <w:spacing w:before="40" w:after="40"/>
        <w:ind w:left="283"/>
      </w:pPr>
      <w:r>
        <w:rPr>
          <w:rFonts w:ascii="Calibri" w:hAnsi="Calibri"/>
          <w:b/>
          <w:color w:val="4A6B25"/>
          <w:sz w:val="20"/>
        </w:rPr>
        <w:t xml:space="preserve">2. </w:t>
      </w:r>
      <w:r>
        <w:rPr>
          <w:rFonts w:ascii="Calibri" w:hAnsi="Calibri"/>
          <w:b w:val="0"/>
          <w:color w:val="3A4A28"/>
          <w:sz w:val="20"/>
        </w:rPr>
        <w:t>Offshore energy capex cycle continuation — global deepwater spending recovery supports Subsea Robotics demand with $300M+ Q1 awards and strong operator backlog [1]</w:t>
      </w:r>
    </w:p>
    <w:p>
      <w:pPr>
        <w:spacing w:before="40" w:after="40"/>
        <w:ind w:left="283"/>
      </w:pPr>
      <w:r>
        <w:rPr>
          <w:rFonts w:ascii="Calibri" w:hAnsi="Calibri"/>
          <w:b/>
          <w:color w:val="4A6B25"/>
          <w:sz w:val="20"/>
        </w:rPr>
        <w:t xml:space="preserve">3. </w:t>
      </w:r>
      <w:r>
        <w:rPr>
          <w:rFonts w:ascii="Calibri" w:hAnsi="Calibri"/>
          <w:b w:val="0"/>
          <w:color w:val="3A4A28"/>
          <w:sz w:val="20"/>
        </w:rPr>
        <w:t>Manufactured Products margin expansion to 18% demonstrates operational leverage and pricing power in specialized subsea hardware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energy capex cycle reversal — a sustained decline in deepwater oil and gas spending would directly compress Oceaneering's largest revenue segments and margins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trend — Q1 2026 operating margin fell from 11% to 8% despite revenue growth, suggesting cost pressures that could persist through the year [1]</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 COO, directors, and multiple officers sold $5M+ in shares in February-March 2026, potentially signaling near-term concern about the stock's outlook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Oceaneering's core business is deeply physical — operating ROVs at ocean depths of 3,000+ meters, manufacturing subsea hardware, providing integrity management services on offshore platforms, and deploying robotics in challenging underwater environments [1]. AI cannot replace remotely operated vehicles inspecting subsea pipelines, installing subsea equipment, or performing offshore construction. The regulatory environment (offshore safety standards, defense contracting requirements) adds structural protection. AI actually increases demand for Oceaneering's services as autonomous underwater vehicle technology and digital twin analytics enhance its competitive moat. Defense and aerospace work (ADTech) involves classified programs with high barriers to entry [1]. AI Opportunity (0/1): While Oceaneering integrates digital solutions, no specific AI-driven revenue was quantified in recent disclosures — the AI contribution is embedded in operational capabilities rather than standalone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Oceaneering International Q1 2026 Earnings — $692.4M revenue, $36.1M net income, $1B order intake, FY2026 EBITDA guidance $390-440M reaffirmed,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Oceaneering International — 3.9/5 rating, 79% recommendation rate, 1,598 reviews, employee culture commentary,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Oceaneering International sustainability and governance — ethics and compliance programs, gender pay gap reporting, oceaneering.com,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OII key statistics, insider transactions, and financial data,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