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OIS</w:t>
      </w:r>
      <w:r>
        <w:rPr>
          <w:rFonts w:ascii="Calibri" w:hAnsi="Calibri"/>
          <w:b/>
          <w:color w:val="1A2010"/>
          <w:sz w:val="40"/>
        </w:rPr>
        <w:t xml:space="preserve">  Oil States International, Inc.</w:t>
      </w:r>
    </w:p>
    <w:p>
      <w:pPr>
        <w:spacing w:after="120"/>
      </w:pPr>
      <w:r>
        <w:rPr>
          <w:rFonts w:ascii="Calibri" w:hAnsi="Calibri"/>
          <w:b/>
          <w:color w:val="6E8450"/>
          <w:sz w:val="18"/>
        </w:rPr>
        <w:t>GROWTH SLEEVE · 2026-05-02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Oil States International provides specialty manufactured products and services to the oil and gas industry worldwide, operating through Offshore Manufactured Products and Well Site Services segments. The company supplies engineered capital equipment for drilling, completion, and production operations with growing international and offshore exposure.</w:t>
      </w:r>
    </w:p>
    <w:p>
      <w:r>
        <w:rPr>
          <w:rFonts w:ascii="Calibri" w:hAnsi="Calibri"/>
          <w:b/>
          <w:color w:val="6E8450"/>
          <w:sz w:val="18"/>
        </w:rPr>
        <w:t>3,400 Employees · https://www.oilstatesintl.com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Oil States provides engineered specialty equipment for offshore and subsea applications, with the Offshore Manufactured Products segment achieving its highest backlog since March 2015 at $435M with a 1.3x book-to-bill ratio [1]. The strategic shift toward international and offshore markets (now 77% of revenue vs. 72% prior year) shows adaptive positioning [1]. However, the product portfolio is largely legacy engineered-to-order equipment without significant technological differentiation or platform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Cindy Taylor has led the company for 16 years since 2007, providing stability through multiple energy cycles [2]. Glassdoor shows 58% would recommend, with 3.5/5 work-life balance but only 3.2/5 for culture and 3.1/5 for career opportunities [2]. Employees note good camaraderie and loyal workforce but cite below-market pay and outdated technology stack, suggesting a steady-state culture lacking in inspirational energy.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of $669M trailing with 8.4% growth is modest, but the company is currently unprofitable with -16.4% net margins and -17.4% ROE due to 2025 impairments [3]. Forward P/E of 14.7x suggests market expects earnings recovery. D/E of 13.1% is very conservative — the company trimmed debt and added credit capacity [1]. FY2026 guidance of $680-700M revenue with $90-95M EBITDA implies improving profitability. Liquidity: 1.1M avg volume x $11.23 = $12.4M, above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Oil States demonstrates steady long-term management under Cindy Taylor's 16-year tenure and conservative financial management, but operates in a cyclical commodity-dependent industry with limited evidence of transformative vision or cultural dynamism beyond survival through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purpose centers on enabling safe, efficient offshore energy production — a necessary function but one tied to fossil fuel extraction without a broader transformative mission [1]. The strategic shift toward offshore and international markets is more survival-driven than purpose-driven, responding to the North American shale slowdown rather than pursuing a higher calling.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highlight good staff camaraderie and management as a positive, suggesting decent team dynamics at operational levels [2]. However, below-market compensation and limited career development opportunities (3.1/5) suggest the company relies on loyalty over investment in people, creating adequate but not exceptional trust environments.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against TechnipFMC, Baker Hughes, and Dril-Quip in offshore equipment manufacturing. The company's record backlog of $435M and 1.3x book-to-bill suggests successful competitive positioning [1], but limited evidence of using rivals as catalysts for innovation or self-improvement beyond operational execution.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shift from North American onshore to 77% international/offshore revenue mix demonstrates tactical flexibility [1]. However, the company remains firmly within oil and gas equipment — no evidence of diversification into energy transition, renewables, or adjacent markets that would demonstrate true existential flexibility for a changing energy landscape.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Cindy Taylor's long tenure provides stability and continuity through volatile energy cycles, including managing impairments and debt reduction responsibly [1][2]. However, the company takes a cautious, incremental approach — there is little evidence of bold bets, transformative acquisitions, or industry-leading positions that would demonstrate exceptional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Oil States is a recovery story trading at 14.7x forward earnings with record offshore backlog of $435M and improving business mix toward higher-margin international/offshore work (77% of revenue). The company's conservative balance sheet (D/E 13%) and FY2026 EBITDA guidance of $90-95M suggest meaningful profitability recovery from 2025's impairment-driven losses.</w:t>
      </w:r>
    </w:p>
    <w:p>
      <w:pPr>
        <w:spacing w:after="120"/>
      </w:pPr>
      <w:r>
        <w:rPr>
          <w:rFonts w:ascii="Calibri" w:hAnsi="Calibri"/>
          <w:b w:val="0"/>
          <w:color w:val="3A4A28"/>
          <w:sz w:val="20"/>
        </w:rPr>
        <w:t>The primary challenge is proving sustainable profitability after years of cyclical volatility — trailing net margins of -16% and negative ROE reflect impairments rather than operational failure, but the company must demonstrate consistent execution to re-rate. At $676M market cap with $680-700M revenue guidance, the valuation is undemanding if margins normalize, but oil and gas equipment remains highly cyclical and exposed to commodity price swings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Manufactured Products backlog of $435M at 1.3x book-to-bill converting to revenue through 2026-2027 provides earnings visibility</w:t>
      </w:r>
    </w:p>
    <w:p>
      <w:pPr>
        <w:spacing w:before="40" w:after="40"/>
        <w:ind w:left="283"/>
      </w:pPr>
      <w:r>
        <w:rPr>
          <w:rFonts w:ascii="Calibri" w:hAnsi="Calibri"/>
          <w:b/>
          <w:color w:val="4A6B25"/>
          <w:sz w:val="20"/>
        </w:rPr>
        <w:t xml:space="preserve">2. </w:t>
      </w:r>
      <w:r>
        <w:rPr>
          <w:rFonts w:ascii="Calibri" w:hAnsi="Calibri"/>
          <w:b w:val="0"/>
          <w:color w:val="3A4A28"/>
          <w:sz w:val="20"/>
        </w:rPr>
        <w:t>International and offshore spending cycle continuing as deepwater FIDs accelerate globally, expanding OIS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Margin normalization from 2025 impairments toward guided EBITDA of $90-95M would significantly improve earnings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cyclicality — a downturn below $60/barrel would reduce offshore project sanctioning and new order intake</w:t>
      </w:r>
    </w:p>
    <w:p>
      <w:pPr>
        <w:spacing w:before="40" w:after="40"/>
        <w:ind w:left="283"/>
      </w:pPr>
      <w:r>
        <w:rPr>
          <w:rFonts w:ascii="Calibri" w:hAnsi="Calibri"/>
          <w:b/>
          <w:color w:val="4A6B25"/>
          <w:sz w:val="20"/>
        </w:rPr>
        <w:t xml:space="preserve">2. </w:t>
      </w:r>
      <w:r>
        <w:rPr>
          <w:rFonts w:ascii="Calibri" w:hAnsi="Calibri"/>
          <w:b w:val="0"/>
          <w:color w:val="3A4A28"/>
          <w:sz w:val="20"/>
        </w:rPr>
        <w:t>Current unprofitability (negative ROE, negative margins) may persist if backlog conversion is slower than expected</w:t>
      </w:r>
    </w:p>
    <w:p>
      <w:pPr>
        <w:spacing w:before="40" w:after="40"/>
        <w:ind w:left="283"/>
      </w:pPr>
      <w:r>
        <w:rPr>
          <w:rFonts w:ascii="Calibri" w:hAnsi="Calibri"/>
          <w:b/>
          <w:color w:val="4A6B25"/>
          <w:sz w:val="20"/>
        </w:rPr>
        <w:t xml:space="preserve">3. </w:t>
      </w:r>
      <w:r>
        <w:rPr>
          <w:rFonts w:ascii="Calibri" w:hAnsi="Calibri"/>
          <w:b w:val="0"/>
          <w:color w:val="3A4A28"/>
          <w:sz w:val="20"/>
        </w:rPr>
        <w:t>No AI or digital strategy evident while competitors integrate smart technologies, risking competitive disadvantage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Oil and gas equipment manufacturing faces moderate AI disruption risk — AI can optimize drilling operations and predictive maintenance, potentially reducing demand for some service offerings. However, OIS's core business of engineered offshore manufactured products (subsea connectors, riser systems, pipeline equipment) requires physical hardware that AI cannot replace [1]. AI adoption in the broader O&amp;G industry creates opportunities for OIS to integrate smart sensors and predictive capabilities into its equipment, but the company shows no evidence of proactive AI investment. The primary risk is falling behind the innovation curve as competitors digitize.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Oil States International Q4 2025 Earnings Call and FY2026 Guidance, Yahoo Finance, accessed May 2026</w:t>
      </w:r>
    </w:p>
    <w:p>
      <w:pPr>
        <w:spacing w:before="20" w:after="20"/>
        <w:ind w:left="170"/>
      </w:pPr>
      <w:r>
        <w:rPr>
          <w:rFonts w:ascii="Calibri" w:hAnsi="Calibri"/>
          <w:b/>
          <w:color w:val="4A6B25"/>
          <w:sz w:val="15"/>
        </w:rPr>
        <w:t xml:space="preserve">2. </w:t>
      </w:r>
      <w:r>
        <w:rPr>
          <w:rFonts w:ascii="Calibri" w:hAnsi="Calibri"/>
          <w:b w:val="0"/>
          <w:color w:val="3A4A28"/>
          <w:sz w:val="17"/>
        </w:rPr>
        <w:t>Oil States International Leadership and Glassdoor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OIS key statistics,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Risk Rating — Oil States International,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