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OKE</w:t>
      </w:r>
      <w:r>
        <w:rPr>
          <w:rFonts w:ascii="Calibri" w:hAnsi="Calibri"/>
          <w:b/>
          <w:color w:val="1A2010"/>
          <w:sz w:val="40"/>
        </w:rPr>
        <w:t xml:space="preserve">  ONEOK, Inc.</w:t>
      </w:r>
    </w:p>
    <w:p>
      <w:pPr>
        <w:spacing w:after="120"/>
      </w:pPr>
      <w:r>
        <w:rPr>
          <w:rFonts w:ascii="Calibri" w:hAnsi="Calibri"/>
          <w:b/>
          <w:color w:val="6E8450"/>
          <w:sz w:val="18"/>
        </w:rPr>
        <w:t>GROWTH SLEEVE · 2026-04-01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ONEOK is one of the largest midstream operators in the United States, providing gathering, processing, fractionation, transportation, and storage services for natural gas, NGLs, refined products, and crude oil through approximately 60,000 miles of pipeline infrastructure. The company dramatically expanded its scale through the 2023 Magellan Midstream Partners acquisition, transforming from an NGL-focused operator into a comprehensive midstream platform.</w:t>
      </w:r>
    </w:p>
    <w:p>
      <w:r>
        <w:rPr>
          <w:rFonts w:ascii="Calibri" w:hAnsi="Calibri"/>
          <w:b/>
          <w:color w:val="6E8450"/>
          <w:sz w:val="18"/>
        </w:rPr>
        <w:t>6,326 Employees · https://www.oneok.com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$18.8B Magellan Midstream Partners acquisition in 2023 was transformative, nearly doubling ONEOK's revenue from $17.7B to $33.6B and adding crude oil and refined products transportation to the NGL-focused business [1]. The merger integration generated 250+ new ideas and led to creation of new executive roles, demonstrating successful execution. However, this is acquisition-driven scale rather than organic product innovation. AI Deployment (0/2): No AI-powered products or services. ONEOK is a physical infrastructure company that utilizes satellite emissions detection technology but has no customer-facing AI deployment [3]. Market Share (2/2): ONEOK is one of the largest NGL gatherers, processors, and fractionators in the U.S., with a dominant position in the mid-continent and Rocky Mountain regions. The 60,000-mile pipeline network and Magellan integration created a comprehensive midstream platform with leading market positions [1]. Pipeline (1/2): Specific projects with timelines: Medford fractionator rebuild (Q4 2026/Q1 2027), Bighorn Processing Plant (mid-2027), Denver refined products expansion, and Texas City export terminal JV. Capital expenditure of $2.7-3.2B in 2026 [1]. R&amp;D Intensity (0/1): Minimal R&amp;D as a midstream infrastructure operator. Innovation is primarily in operational efficiency and emissions reduction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ONEOK's stated values — safety, environmental stewardship, ethics, inclusion, excellence, service, and innovation — are clear and well-articulated but not distinctive from other midstream operators. CEO Norton emphasizes that 'energy is going to be around a long time' and advocates for fossil fuels, renewables, and nuclear working together, but this is an industry view, not a transformative just cause [3]. Community Impact (1/2): Headquartered in Tulsa with strong local community ties. CEO Norton speaks at The University of Tulsa's Friends of Finance series. The company employs 6,326 people and operates critical energy infrastructure, but no specific charitable programs or dollar amounts were identified beyond standard corporate citizenship [3]. Employee Retention (1/2): The Magellan merger integration brought together two cultures successfully, with Norton noting the collaboration 'was probably the biggest surprise to me, the way people came together' [3]. New COO (Randy Lentz) and CCO (Sheridan Swords) roles created in 2025 show organizational investment. However, specific retention metrics are not available. Insider Buying (0/2): No evidence of meaningful net insider buying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ONEOK's financial profile is strong across most metrics following the Magellan integration. Revenue of $33.6B (29.5% YoY growth) reflects the full-year benefit of the Magellan acquisition plus organic volume growth [1]. Forward P/E of 14.5x is attractive for an infrastructure company with visible growth projects. D/E of 146.5% reflects the acquisition-driven debt load ($32B long-term debt), scoring 0.67 on the mechanical calculation. ROE of 15.5% just exceeds the 15% target (score 1.0, weight 2x). Revenue 5yr CAGR of approximately 14.5% (from $22.4B in 2022 to $33.6B in 2025) scores maximum (weight 2x). Profit margin of 10.1% is below the 20% target (score 0.50), typical of midstream pass-through revenue. Forward PEG of 1.27 (Forward P/E 14.5 / 11.4% EPS growth) scores 0.87 (weight 2x). Liquidity floor cleared: 5.1M avg vol x $87.21 = ~$445M daily [5]. Adjusted EBITDA of $8B+ demonstrates strong cash generation despite the low net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ONEOK plays a primarily finite game focused on scale, acquisitions, and shareholder returns. The $18.8B Magellan acquisition was a bold move but driven by financial synergies and market share consolidation rather than a deeper purpose. CEO Norton's commentary focuses on energy's long-term relevance and financial metrics rather than a vision of a future state that the company is uniquely positioned to advance. The company optimizes for adjusted EBITDA, dividend growth, and debt reduction — quintessentially finite objectives.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ONEOK exists to transport and process energy — a necessary function but not a Just Cause in Sinek's framework. The company's purpose statement centers on safety, ethics, and operational excellence, which are baseline expectations rather than an inspiring vision of a better future [3]. CEO Norton's framing of energy's long-term relevance ('the world works on energy') is factual but not purpose-driven. There is no articulated vision that would inspire sacrifice or attract people beyond competitive compensation.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Magellan merger integration was notably successful, with CEO Norton expressing surprise at 'the way people came together' and the 250+ new ideas that emerged from combining cultures [3]. New COO and CCO roles created in 2025 show investment in organizational structure. However, this is adequate trust during a honeymoon period — whether it sustains through the coming growth slowdown in 2026 is untested.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ONEOK's competitive language and strategy focus on scale advantage, market share, and asset footprint — typical finite game positioning in the midstream sector. No management commentary was found referencing competitors as sources of learning 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Magellan acquisition in 2023 represented a significant strategic expansion from NGL-focused operations to a comprehensive midstream platform including crude oil and refined products. This evolved ONEOK's business model meaningfully. However, the company has always been a midstream operator — the pivot was within the existing business category (adding adjacent hydrocarbon streams) rather than a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$18.8B Magellan acquisition was a bold bet that tripled ONEOK's long-term debt from $12.7B to $32B and fundamentally reshaped the company [4]. Taking on that leverage during a period of energy market uncertainty required conviction. The company also committed to $2.7-3.2B in 2026 capex for growth projects while guiding for flat-to-modest earnings growth, prioritizing long-term capacity over near-term returns. However, these decisions served financial scale rather than a deeper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ONEOK is a premier midstream infrastructure platform trading at an attractive 14.5x forward P/E with a 4.6% dividend yield, positioned to benefit from secular growth in energy demand driven by AI data centers and continued U.S. hydrocarbon production growth [1]. The Magellan integration is generating $150M+ in incremental synergies, and adjusted EBITDA of $8B+ (up 18% in 2025) demonstrates the scale and cash flow power of the combined platform [1]. Revenue of $33.6B (up 55% YoY) and the 60,000-mile pipeline network create a dominant competitive position in NGL gathering, processing, and fractionation. The 4% quarterly dividend increase to $4.28 annualized shows management's confidence in sustained cash flow, supported by $2.7-3.2B in growth capital projects including the Medford fractionator rebuild, Bighorn Processing Plant, and Texas City export terminal [1]. EPS has grown at a 13% CAGR since 2017, and the 25-year dividend payment history provides income reliability.</w:t>
      </w:r>
    </w:p>
    <w:p>
      <w:pPr>
        <w:spacing w:after="120"/>
      </w:pPr>
      <w:r>
        <w:rPr>
          <w:rFonts w:ascii="Calibri" w:hAnsi="Calibri"/>
          <w:b w:val="0"/>
          <w:color w:val="3A4A28"/>
          <w:sz w:val="20"/>
        </w:rPr>
        <w:t>The bear case centers on growth deceleration and balance sheet risk. ONEOK's 2026 guidance of $3.19-3.71B net income (midpoint essentially flat vs. 2025's $3.39B) signals a growth pause as acquisition synergies plateau and producer activity moderates at $55-60 WTI crude prices [1][2]. Long-term debt of $32B (D/E 146%) creates significant financial leverage — the debt tripled since 2023 from the Magellan acquisition, making the company vulnerable to rising interest rates and potential credit rating pressure. The Mont Belvieu fractionator explosion in October 2025 (three injuries, $930M insurance-funded repairs) highlights operational safety risks inherent to the business [4]. The stock fell 27% in 2025, suggesting investor skepticism about the growth trajectory post-acquisition. Profit margin of 10.1% is structurally low for a midstream operator with significant pass-through revenue. The Medford fractionator rebuild and Texas City terminal projects won't meaningfully contribute to earnings until 2027-2028, creating a growth vacuum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energy demand creating secular tailwind for natural gas volumes — CEO Norton: 'AI is going to be a game-changer in the energy space' [3]</w:t>
      </w:r>
    </w:p>
    <w:p>
      <w:pPr>
        <w:spacing w:before="40" w:after="40"/>
        <w:ind w:left="283"/>
      </w:pPr>
      <w:r>
        <w:rPr>
          <w:rFonts w:ascii="Calibri" w:hAnsi="Calibri"/>
          <w:b/>
          <w:color w:val="4A6B25"/>
          <w:sz w:val="20"/>
        </w:rPr>
        <w:t xml:space="preserve">2. </w:t>
      </w:r>
      <w:r>
        <w:rPr>
          <w:rFonts w:ascii="Calibri" w:hAnsi="Calibri"/>
          <w:b w:val="0"/>
          <w:color w:val="3A4A28"/>
          <w:sz w:val="20"/>
        </w:rPr>
        <w:t>Medford fractionator rebuild (Q4 2026/Q1 2027), Bighorn Processing Plant (mid-2027), and Texas City export terminal expected to drive earnings reacceleration in 2027-2028 [1]</w:t>
      </w:r>
    </w:p>
    <w:p>
      <w:pPr>
        <w:spacing w:before="40" w:after="40"/>
        <w:ind w:left="283"/>
      </w:pPr>
      <w:r>
        <w:rPr>
          <w:rFonts w:ascii="Calibri" w:hAnsi="Calibri"/>
          <w:b/>
          <w:color w:val="4A6B25"/>
          <w:sz w:val="20"/>
        </w:rPr>
        <w:t xml:space="preserve">3. </w:t>
      </w:r>
      <w:r>
        <w:rPr>
          <w:rFonts w:ascii="Calibri" w:hAnsi="Calibri"/>
          <w:b w:val="0"/>
          <w:color w:val="3A4A28"/>
          <w:sz w:val="20"/>
        </w:rPr>
        <w:t>$150M+ in incremental acquisition synergies and continued volume growth from Permian Basin production supporting adjusted EBITDA expansion toward $8.5B+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 2026 net income guidance midpoint is flat vs. 2025, with major growth projects not contributing meaningfully until 2027-2028, creating an earnings vacuum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 $32B long-term debt (D/E 146%) from the Magellan acquisition limits financial flexibility and creates vulnerability to rising interest rates or commodity price declines [4]</w:t>
      </w:r>
    </w:p>
    <w:p>
      <w:pPr>
        <w:spacing w:before="40" w:after="40"/>
        <w:ind w:left="283"/>
      </w:pPr>
      <w:r>
        <w:rPr>
          <w:rFonts w:ascii="Calibri" w:hAnsi="Calibri"/>
          <w:b/>
          <w:color w:val="4A6B25"/>
          <w:sz w:val="20"/>
        </w:rPr>
        <w:t xml:space="preserve">3. </w:t>
      </w:r>
      <w:r>
        <w:rPr>
          <w:rFonts w:ascii="Calibri" w:hAnsi="Calibri"/>
          <w:b w:val="0"/>
          <w:color w:val="3A4A28"/>
          <w:sz w:val="20"/>
        </w:rPr>
        <w:t>Operational safety risk — Mont Belvieu fractionator explosion (October 2025) and Medford gas plant explosion (2022) demonstrate the inherent hazard risk of midstream operations, with potential for regulatory scrutiny and insurance cost increases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ONEOK operates 60,000 miles of physical pipeline infrastructure for natural gas, NGLs, crude oil, and refined products — assets that AI structurally cannot replace [1]. AI is not a threat to midstream energy; it is an enabler. CEO Pierce Norton stated 'AI is going to be a game-changer in the energy space' because the massive data centers required for AI computing will dramatically increase energy consumption, driving higher demand for the natural gas and NGL volumes that flow through ONEOK's network [3]. The physical nature of gathering, processing, fractionating, and transporting hydrocarbons makes this business immune to AI substitution. AI Opportunity (0/1): ONEOK does not generate revenue from AI products or services. The company benefits indirectly from AI-driven energy demand growth but has no direct AI revenue contribution to cite.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ONEOK Full-Year 2025 Earnings Release — $33.6B revenue, net income up 11%, adjusted EBITDA up 18% to $8B+, 2026 guidance, February 23,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Motley Fool — ONEOK 2026 growth outlook, 4.9% yield, dividend analysis, February 2026</w:t>
      </w:r>
    </w:p>
    <w:p>
      <w:pPr>
        <w:spacing w:before="20" w:after="20"/>
        <w:ind w:left="170"/>
      </w:pPr>
      <w:r>
        <w:rPr>
          <w:rFonts w:ascii="Calibri" w:hAnsi="Calibri"/>
          <w:b/>
          <w:color w:val="4A6B25"/>
          <w:sz w:val="15"/>
        </w:rPr>
        <w:t xml:space="preserve">3. </w:t>
      </w:r>
      <w:r>
        <w:rPr>
          <w:rFonts w:ascii="Calibri" w:hAnsi="Calibri"/>
          <w:b w:val="0"/>
          <w:color w:val="3A4A28"/>
          <w:sz w:val="17"/>
        </w:rPr>
        <w:t>ONEOK CEO Pierce Norton — Tulsa Regional Chamber, sustainability report, AI energy demand commentary, 2024-2026</w:t>
      </w:r>
    </w:p>
    <w:p>
      <w:pPr>
        <w:spacing w:before="20" w:after="20"/>
        <w:ind w:left="170"/>
      </w:pPr>
      <w:r>
        <w:rPr>
          <w:rFonts w:ascii="Calibri" w:hAnsi="Calibri"/>
          <w:b/>
          <w:color w:val="4A6B25"/>
          <w:sz w:val="15"/>
        </w:rPr>
        <w:t xml:space="preserve">4. </w:t>
      </w:r>
      <w:r>
        <w:rPr>
          <w:rFonts w:ascii="Calibri" w:hAnsi="Calibri"/>
          <w:b w:val="0"/>
          <w:color w:val="3A4A28"/>
          <w:sz w:val="17"/>
        </w:rPr>
        <w:t>PR Newswire / AInvest — Mont Belvieu explosion October 2025, Medford settlement, ESG controversies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OKE,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