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OLN</w:t>
      </w:r>
      <w:r>
        <w:rPr>
          <w:rFonts w:ascii="Calibri" w:hAnsi="Calibri"/>
          <w:b/>
          <w:color w:val="1A2010"/>
          <w:sz w:val="40"/>
        </w:rPr>
        <w:t xml:space="preserve">  Olin Corporation</w:t>
      </w:r>
    </w:p>
    <w:p>
      <w:pPr>
        <w:spacing w:after="120"/>
      </w:pPr>
      <w:r>
        <w:rPr>
          <w:rFonts w:ascii="Calibri" w:hAnsi="Calibri"/>
          <w:b/>
          <w:color w:val="6E8450"/>
          <w:sz w:val="18"/>
        </w:rPr>
        <w:t>DIVIDEND SLEEVE · 2026-04-09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NYSE · United States</w:t>
      </w:r>
    </w:p>
    <w:p>
      <w:pPr>
        <w:spacing w:after="80"/>
      </w:pPr>
      <w:r>
        <w:rPr>
          <w:rFonts w:ascii="Calibri" w:hAnsi="Calibri"/>
          <w:b w:val="0"/>
          <w:color w:val="3A4A28"/>
          <w:sz w:val="20"/>
        </w:rPr>
        <w:t>Olin Corporation manufactures and distributes chemical products and ammunition worldwide. It operates through three segments: Chlor Alkali Products and Vinyls (caustic soda, chlorine, bleach, vinyl chloride monomer); Epoxy (resins, curing agents, allyl chloride); and Winchester (sporting ammunition, military and law enforcement products). The company has operated continuously since 1892.</w:t>
      </w:r>
    </w:p>
    <w:p>
      <w:r>
        <w:rPr>
          <w:rFonts w:ascii="Calibri" w:hAnsi="Calibri"/>
          <w:b/>
          <w:color w:val="6E8450"/>
          <w:sz w:val="18"/>
        </w:rPr>
        <w:t>7,849 Employees · https://www.olin.com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Olin's core business — chlor alkali chemicals, epoxy, and Winchester ammunition — has been largely unchanged over the past five years. The company's 2015 acquisition of Dow Chemical's chlor alkali business remains the most significant strategic move, now a decade old [1]. Revenue has declined from $9.4B in 2022 to $6.8B in 2025 as commodity prices normalized. AI Deployment (0/2): No evidence of AI-powered products shipping to customers or specific AI-driven operational savings reported. Chemical manufacturing involves process optimization but Olin has not disclosed AI-specific initiatives [2]. Market Share (1/2): Olin is a meaningful player in North American chlor alkali and the dominant civilian ammunition manufacturer through Winchester, holding significant market share in both categories [1]. Pipeline (1/2): Management announced a 'milestone in strategic plan implementation' in early 2026 and achieved ISCC PLUS sustainability certification at the Stade, Germany facility, but no transformative new products or revenue streams are in the pipeline [3]. R&amp;D Intensity (1/1): Olin invests in R&amp;D for chemical process innovation and new specialty applications, with R&amp;D spend at or near industry average for specialty chemicals.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Olin's corporate identity centers on being a leading manufacturer of chemical and ammunition products, with an updated Code of Conduct emphasizing safety, sustainability, and ethics [3]. However, the purpose statement is generic and interchangeable with any chemical company — no distinctive vision of a better future. Community Impact (1/2): Olin achieved ISCC PLUS sustainability certification and released an updated Code of Conduct with enhanced guidance on social responsibility, environmental sustainability, and anti-corruption [3]. Some community impact but no distinctive charitable programs or dollar amounts cited. Employee Retention (1/2): Glassdoor reviews paint a deteriorating cultural picture — employees cite the shift from a 'warm and family-oriented' culture to one that is 'cold and overly corporate,' with complaints about bad leadership that 'won't listen to experience' [2]. Average or below-average retention. Insider Buying (1/2): CEO Ken Lane was appointed in March 2024 from LyondellBasell, bringing external perspective. The company has been aggressively buying back shares (heavy buybacks noted), indicating management confidence, though specific insider purchases were not confirmed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Olin's financial profile is strained across most metrics. Revenue of $6.78B was flat YoY (-0.4%) and down 28% from the 2022 peak, with the 3-year revenue CAGR of -10.2% scoring zero [1]. Profit margin is -1.5% (net loss of $100.5M in 2025), and ROE is -5.2%, both scoring zero [4]. D/E of 167.8% is elevated at 0.57/1.0, and the payout ratio of 174% exceeds 100% due to the net loss, also scoring zero [4]. Forward P/E of 35.2x is rich for a cyclical commodity company. The bright spots are 11 consecutive years of dividend payments (scoring 1.0 at 2x weight) and moderate revenue growth YoY of 3.7%. However, the dividend has been flat at $0.80/year for over a decade, resulting in zero growth — no consecutive years of growth and 0% five-year dividend growth CAGR. Liquidity is adequate at $96.9M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Olin has been operating since 1892, which represents remarkable institutional longevity, but the current strategy is decidedly finite-game focused. Aggressive share buybacks funded by debt during a cyclical downturn (resulting in a $100M net loss while the payout ratio exceeds 170%) prioritize near-term shareholder appeasement over long-term financial resilience. CEO turnover, deteriorating culture, and flat dividends for a decade suggest the company is managing for the cycle rather than building for endurance.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Olin's purpose is essentially to manufacture chemicals and ammunition profitably — there is no articulated vision of a better future or cause that inspires sacrifice [3]. The company exists to make money for shareholders through commodity manufacturing. The updated Code of Conduct addresses ethics and sustainability but does not constitute a Just Cause. No Just Cause evident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low-trust environment — employees report the culture has shifted from 'warm and family-oriented' to 'cold and overly corporate,' with complaints that 'bad leadership won't listen to experience' and 'nothing is done about' cultural problems [2]. CEO turnover (Ken Lane appointed March 2024) adds organizational instability. Low-trust environment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Olin's competitive language focuses on supply discipline and pricing power rather than learning from rivals. The company's chlor alkali strategy is about controlling supply to maintain pricing, which is a finite-game approach focused on winning market share rather than improving capabilities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Olin's 2015 acquisition of Dow Chemical's chlor alkali business was a significant strategic pivot that transformed the company from a diversified manufacturer into a major chemical player. The ISCC PLUS sustainability certification at Stade represents adaptation toward sustainable chemistry [3]. However, the core business model has not fundamentally changed in decades. Some incremental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maintain disciplined supply management in chlor alkali — curtailing production to support pricing rather than maximizing volume — requires conviction, though critics argue this is short-term margin management rather than long-term capability building [1]. Bringing in CEO Ken Lane from LyondellBasell to drive operational transformation shows willingness to change leadership for strategic reasons. Some courage demonstrated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Olin Corporation operates in structurally protected industries — chlor alkali chemicals and Winchester ammunition — with significant market positions and physical-world moats that are immune to AI disruption [1]. Revenue of $6.78B in 2025 and the company's 134-year operating history demonstrate institutional durability. The 2.76% dividend yield provides income, and forward P/E of 35.2x reflects cyclical trough earnings that should recover as chemical pricing normalizes. Winchester maintains dominant civilian ammunition market share with growing military/law enforcement contracts. The chlor alkali supply discipline strategy, while controversial, has maintained pricing power above historical norms. New CEO Ken Lane from LyondellBasell brings fresh operational expertise that could improve profitability as the cycle turns [2].</w:t>
      </w:r>
    </w:p>
    <w:p>
      <w:pPr>
        <w:spacing w:after="120"/>
      </w:pPr>
      <w:r>
        <w:rPr>
          <w:rFonts w:ascii="Calibri" w:hAnsi="Calibri"/>
          <w:b w:val="0"/>
          <w:color w:val="3A4A28"/>
          <w:sz w:val="20"/>
        </w:rPr>
        <w:t>The bear case is substantial. Olin swung to a $100.5M net loss in 2025 from $108.6M profit in 2024, an earnings collapse driven by commodity price weakness in chlor alkali and epoxy [1]. Revenue has declined 28% from the 2022 peak of $9.4B, and the 3-year revenue CAGR of -10.2% is deeply negative. D/E of 168% is elevated while earnings are negative, and the company continues aggressive share buybacks funded by debt — a classic finite-game move that sacrifices balance sheet strength for near-term EPS management [2]. The dividend has been flat at $0.80/year for over a decade, providing zero income growth through a period of significant inflation. Analyst consensus is Neutral with a $23.0 price target implying minimal upside. Glassdoor reviews describe deteriorating culture under new leadership, and the cyclical commodity business provides no visibility on when or whether earnings recover to 2022 levels. Environmental remediation liabilities from decades of chemical manufacturing represent a tail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Chlor alkali and epoxy pricing recovery as supply discipline normalizes the commodity cycle — trough earnings create potential for significant operating leverage when demand returns [1]</w:t>
      </w:r>
    </w:p>
    <w:p>
      <w:pPr>
        <w:spacing w:before="40" w:after="40"/>
        <w:ind w:left="283"/>
      </w:pPr>
      <w:r>
        <w:rPr>
          <w:rFonts w:ascii="Calibri" w:hAnsi="Calibri"/>
          <w:b/>
          <w:color w:val="4A6B25"/>
          <w:sz w:val="20"/>
        </w:rPr>
        <w:t xml:space="preserve">2. </w:t>
      </w:r>
      <w:r>
        <w:rPr>
          <w:rFonts w:ascii="Calibri" w:hAnsi="Calibri"/>
          <w:b w:val="0"/>
          <w:color w:val="3A4A28"/>
          <w:sz w:val="20"/>
        </w:rPr>
        <w:t>Winchester ammunition segment providing stable defense revenue through military and law enforcement contracts as government spending on ammunition increases [1]</w:t>
      </w:r>
    </w:p>
    <w:p>
      <w:pPr>
        <w:spacing w:before="40" w:after="40"/>
        <w:ind w:left="283"/>
      </w:pPr>
      <w:r>
        <w:rPr>
          <w:rFonts w:ascii="Calibri" w:hAnsi="Calibri"/>
          <w:b/>
          <w:color w:val="4A6B25"/>
          <w:sz w:val="20"/>
        </w:rPr>
        <w:t xml:space="preserve">3. </w:t>
      </w:r>
      <w:r>
        <w:rPr>
          <w:rFonts w:ascii="Calibri" w:hAnsi="Calibri"/>
          <w:b w:val="0"/>
          <w:color w:val="3A4A28"/>
          <w:sz w:val="20"/>
        </w:rPr>
        <w:t>CEO Ken Lane's operational transformation plan reaching milestones — potential for margin improvement through cost reduction and process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commodity price weakness in chlor alkali and epoxy could extend the net loss — the -$100.5M loss in 2025 may persist or worsen if demand does not recover [1]</w:t>
      </w:r>
    </w:p>
    <w:p>
      <w:pPr>
        <w:spacing w:before="40" w:after="40"/>
        <w:ind w:left="283"/>
      </w:pPr>
      <w:r>
        <w:rPr>
          <w:rFonts w:ascii="Calibri" w:hAnsi="Calibri"/>
          <w:b/>
          <w:color w:val="4A6B25"/>
          <w:sz w:val="20"/>
        </w:rPr>
        <w:t xml:space="preserve">2. </w:t>
      </w:r>
      <w:r>
        <w:rPr>
          <w:rFonts w:ascii="Calibri" w:hAnsi="Calibri"/>
          <w:b w:val="0"/>
          <w:color w:val="3A4A28"/>
          <w:sz w:val="20"/>
        </w:rPr>
        <w:t>Aggressive share buybacks funded by debt during a loss year (D/E 168%, payout ratio 174%) risk financial distress if the cycle remains depressed longer than expected [4]</w:t>
      </w:r>
    </w:p>
    <w:p>
      <w:pPr>
        <w:spacing w:before="40" w:after="40"/>
        <w:ind w:left="283"/>
      </w:pPr>
      <w:r>
        <w:rPr>
          <w:rFonts w:ascii="Calibri" w:hAnsi="Calibri"/>
          <w:b/>
          <w:color w:val="4A6B25"/>
          <w:sz w:val="20"/>
        </w:rPr>
        <w:t xml:space="preserve">3. </w:t>
      </w:r>
      <w:r>
        <w:rPr>
          <w:rFonts w:ascii="Calibri" w:hAnsi="Calibri"/>
          <w:b w:val="0"/>
          <w:color w:val="3A4A28"/>
          <w:sz w:val="20"/>
        </w:rPr>
        <w:t>Deteriorating employee culture and CEO turnover may impair operational execution during the critical transformation period, as evidenced by Glassdoor feedback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Olin's core businesses are structurally protected from AI disruption. Chemical manufacturing (chlor alkali, epoxy) involves physical-world chemical processes, massive industrial infrastructure, and deep regulatory expertise that AI cannot replicate or replace [2]. Winchester ammunition manufacturing requires precision engineering, supply chain management, and government contracts that are AI-immune. The company's moats are physical plants, environmental permits, and decades of process optimization. AI may modestly improve chemical process efficiency and yield optimization, but these are enhancements, not disruptions. The only exposure is in back-office and supply chain functions where AI could reduce costs for competitors as well. AI Opportunity (0/1): Olin does not generate revenue from AI-related products or services. Chemical and ammunition manufacturing are traditional industries with no current AI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Olin Corporation FY2025 Financial Results — $6.78B revenue, -$100.5M net loss, EPS -$0.88, Nasdaq/SEC filings, 2026</w:t>
      </w:r>
    </w:p>
    <w:p>
      <w:pPr>
        <w:spacing w:before="20" w:after="20"/>
        <w:ind w:left="170"/>
      </w:pPr>
      <w:r>
        <w:rPr>
          <w:rFonts w:ascii="Calibri" w:hAnsi="Calibri"/>
          <w:b/>
          <w:color w:val="4A6B25"/>
          <w:sz w:val="15"/>
        </w:rPr>
        <w:t xml:space="preserve">2. </w:t>
      </w:r>
      <w:r>
        <w:rPr>
          <w:rFonts w:ascii="Calibri" w:hAnsi="Calibri"/>
          <w:b w:val="0"/>
          <w:color w:val="3A4A28"/>
          <w:sz w:val="17"/>
        </w:rPr>
        <w:t>Glassdoor/Comparably — Olin Corporation employee reviews, CEO Ken Lane appointment, culture feedback, 2024-2026</w:t>
      </w:r>
    </w:p>
    <w:p>
      <w:pPr>
        <w:spacing w:before="20" w:after="20"/>
        <w:ind w:left="170"/>
      </w:pPr>
      <w:r>
        <w:rPr>
          <w:rFonts w:ascii="Calibri" w:hAnsi="Calibri"/>
          <w:b/>
          <w:color w:val="4A6B25"/>
          <w:sz w:val="15"/>
        </w:rPr>
        <w:t xml:space="preserve">3. </w:t>
      </w:r>
      <w:r>
        <w:rPr>
          <w:rFonts w:ascii="Calibri" w:hAnsi="Calibri"/>
          <w:b w:val="0"/>
          <w:color w:val="3A4A28"/>
          <w:sz w:val="17"/>
        </w:rPr>
        <w:t>Olin Corporate Responsibility — ISCC PLUS certification, updated Code of Conduct, sustainability initiatives, January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OLN (Olin Corporation),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