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OMDA</w:t>
      </w:r>
      <w:r>
        <w:rPr>
          <w:rFonts w:ascii="Calibri" w:hAnsi="Calibri"/>
          <w:b/>
          <w:color w:val="1A2010"/>
          <w:sz w:val="40"/>
        </w:rPr>
        <w:t xml:space="preserve">  Omda AS</w:t>
      </w:r>
    </w:p>
    <w:p>
      <w:pPr>
        <w:spacing w:after="120"/>
      </w:pPr>
      <w:r>
        <w:rPr>
          <w:rFonts w:ascii="Calibri" w:hAnsi="Calibri"/>
          <w:b/>
          <w:color w:val="6E8450"/>
          <w:sz w:val="18"/>
        </w:rPr>
        <w:t>GROWTH SLEEVE · 2026-04-27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OSL · Norway</w:t>
      </w:r>
    </w:p>
    <w:p>
      <w:pPr>
        <w:spacing w:after="80"/>
      </w:pPr>
      <w:r>
        <w:rPr>
          <w:rFonts w:ascii="Calibri" w:hAnsi="Calibri"/>
          <w:b w:val="0"/>
          <w:color w:val="3A4A28"/>
          <w:sz w:val="20"/>
        </w:rPr>
        <w:t>Omda AS is the leading Nordic provider of specialized software solutions for healthcare and emergency services, serving 500+ customers across 27 countries. Products include laboratory information management, connected healthcare imaging, maternity care, oncology medication management, health analytics, and emergency response coordination platforms. Formerly CSAM Health Group AS, headquartered in Oslo, Norway.</w:t>
      </w:r>
    </w:p>
    <w:p>
      <w:r>
        <w:rPr>
          <w:rFonts w:ascii="Calibri" w:hAnsi="Calibri"/>
          <w:b/>
          <w:color w:val="6E8450"/>
          <w:sz w:val="18"/>
        </w:rPr>
        <w:t>255 Employees · https://omda.com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Omda has executed a successful acquisition-led transformation, completing three acquisitions in Q1 2025 alone (Predicare, Dermicus, Aweria) while rebranding from CSAM Health Group in 2023 to signal a new growth trajectory [1]. Revenue grew 16% YoY to NOK 496M with EBITDA more than doubling, demonstrating successful integration execution. AI Deployment (1/2): The company is collaborating with Valencia Emergency Medical Service and the University of Valencia to implement an AI-assisted dispatch prioritization system, an early-stage but concrete AI deployment in life-critical emergency services [2]. Market Share (2/2): Omda is the acknowledged market leader in Nordic specialized healthcare software, serving 500+ customers in 27 countries with dominant positions in blood management, oncology medication, maternity care, and emergency dispatch systems [2]. Pipeline (1/2): 2026 guidance of NOK 500-525M organic revenue plus 10-20% acquisition growth shows clear expansion plans, with MDR certification reinforcing regulatory pipeline readiness [1]. R&amp;D Intensity (0/1): No evidence of above-average R&amp;D spending relative to healthcare IT peers; growth is primarily acquisition-driven rather than organic R&amp;D-led.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Omda's vision — 'Smarter Ways to a safe and healthy world' — is specific, thoughtful, and genuinely connects the company's software to patient safety and healthcare outcomes [3]. The focus on empowering healthcare professionals in 'life's most critical moments' is more than marketing — it shapes product decisions around safety-critical design and MDR compliance. However, the company is too young in its current form (rebranded 2023) to demonstrate decade-validated execution. Community Impact (0/2): No evidence of significant charitable programs, foundation, or community investment beyond the inherent social good of healthcare software products [4]. Employee Retention (1/2): Small team of ~255 employees with CEO Sverre Flatby and CFO Einar Bonnevie both serving 15+ years, signaling leadership stability and mission alignment [2]. However, broader employee retention data for the full organization is not available. Insider Buying (2/2): CEO Flatby and CFO Bonnevie own a combined 19.5% of the company through Equilibrium AS, representing exceptional insider alignment — far exceeding typical executive ownership levels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6,954 shares x NOK 39.5 = NOK 274,683 (~$26,000 USD), dramatically below the $1,000,000 minimum liquidity requirement [5]. Infrastructure score is automatically set to 0 regardless of underlying financial metrics. For reference, the underlying metrics show a mixed picture: D/E of 2,933% reflects aggressive acquisition financing (NOK ~500M gross debt against minimal equity), ROE of 39.2% is strong, profit margin of 1.33% is razor-thin on a GAAP basis despite 24% EBITDA margins, and forward P/E of 10.7 is attractively low [5]. Revenue growth of 16.8% YoY and 2026 EBITDA margin guidance of 28-32% indicate improving profitability, but the stock is simply too illiquid for institutional or meaningful retail trading.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Omda under Flatby's 15-year leadership demonstrates genuine infinite game characteristics — a clear healthcare mission, exceptional insider alignment (19.5% combined CEO/CFO ownership), and strategic patience in building specialized healthcare software. However, the heavy reliance on acquisition-led growth rather than organic innovation, and the company's relatively short history in its current form (rebranded 2023), limit the evidence for validated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Omda's vision — 'Smarter Ways to a safe and healthy world' — connects software development to patient safety and healthcare outcomes in a genuine, non-generic way [3]. The focus on empowering healthcare professionals in life-critical moments (emergency dispatch, oncology dosing, blood management) gives the cause real weight. The mission shapes product decisions: MDR certification, safety-critical design standards, and GDPR compliance are embedded in product architecture. Scores 2/3 — genuine cause, partially lived, but the company is too young in its current form to demonstrate multi-decade validation.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Flatby and CFO Bonnevie have worked together for 15+ years, providing exceptional leadership continuity for a 255-person organization [2]. The management team structure includes dedicated roles for technology, strategy, and emergency services, suggesting functional empowerment. However, limited public data on broader employee sentiment, turnover, or cultural practices beyond leadership stability. 1/2 points — adequate trust with strong leadership continuity but insufficient evidence of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Omda's acquisition strategy (Predicare, Dermicus, Aweria) reflects competitive awareness — each acquisition fills a specific capability gap rather than pursuing market-share consolidation [1]. The company's specialization in niche healthcare domains rather than competing head-on with Epic or Oracle Health shows strategic self-awareness about where its strengths lie.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rebrand from CSAM Health Group to Omda in 2023 signaled strategic evolution, and the company has expanded from Nordic-only to 27 countries [2]. The pivot from a holding-company structure to an integrated platform approach represents meaningful business model evolution. However, these are incremental adaptations rather than transformative reinventions — Omda remains fundamentally a healthcare software acquirer/integrator.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Flatby and Bonnevie have shown courage through significant personal financial commitment — 19.5% ownership represents substantial personal wealth concentration in a micro-cap company [2]. The decision to pursue aggressive acquisition-led growth while simultaneously expanding EBITDA margins from ~12% to 24% in one year demonstrates operational courage. However, the heavy debt load (D/E 2,933%) raises questions about whether growth is being financed prudently.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Omda is a compelling niche healthcare software compounder with dominant Nordic market positions in specialized, safety-critical applications — blood management, oncology dosing, emergency dispatch, and maternity care — serving 500+ customers across 27 countries [1]. FY 2025 was the company's best year ever: revenue of NOK 496M (16% growth), EBITDA of NOK 117M (24% margin, more than doubled YoY), and Q3 2025 hit a record 30% EBITDA margin [1]. Management's 2026 guidance of NOK 500-525M organic revenue with 28-32% EBITDA margin plus 10-20% acquisition growth signals continued momentum. At a forward P/E of 10.7x, the stock is deeply undervalued relative to comparable healthcare IT companies trading at 20-30x forward earnings [5]. CEO and CFO ownership of 19.5% provides exceptional insider alignment, and the Inspire Impact Score of 53 (ALIGNED) with zero negative attributions reflects clean ESG positioning [2].</w:t>
      </w:r>
    </w:p>
    <w:p>
      <w:pPr>
        <w:spacing w:after="120"/>
      </w:pPr>
      <w:r>
        <w:rPr>
          <w:rFonts w:ascii="Calibri" w:hAnsi="Calibri"/>
          <w:b w:val="0"/>
          <w:color w:val="3A4A28"/>
          <w:sz w:val="20"/>
        </w:rPr>
        <w:t>The critical constraint is liquidity: average daily volume of just ~7,000 shares (NOK 275K daily turnover, ~$26K USD) makes OMDA essentially untradeable for any portfolio above micro-cap scale, triggering the IOWN Infrastructure floor of 0 [5]. The D/E ratio of 2,933% reflects an extremely leveraged balance sheet from serial acquisitions, creating significant financial risk if healthcare IT spending slows or integration falters. GAAP profit margin of just 1.33% (despite 24% EBITDA margin) highlights the gap between adjusted and reported profitability, driven by amortization of acquired intangibles and interest expense [5]. The acquisition-heavy growth model depends on continued access to capital markets and target availability in an increasingly competitive healthcare IT M&amp;A landscape. Geographic concentration in the Nordics, while a strength for market position, limits the total addressable market. Oslo Stock Exchange listing limits institutional investor access and analyst coverage compared to major exchanges.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margin expansion toward 28-32% guided for 2026, with Q3 2025 already achieving 30%, validating the Flowserve Business System approach to acquired assets [1]</w:t>
      </w:r>
    </w:p>
    <w:p>
      <w:pPr>
        <w:spacing w:before="40" w:after="40"/>
        <w:ind w:left="283"/>
      </w:pPr>
      <w:r>
        <w:rPr>
          <w:rFonts w:ascii="Calibri" w:hAnsi="Calibri"/>
          <w:b/>
          <w:color w:val="4A6B25"/>
          <w:sz w:val="20"/>
        </w:rPr>
        <w:t xml:space="preserve">2. </w:t>
      </w:r>
      <w:r>
        <w:rPr>
          <w:rFonts w:ascii="Calibri" w:hAnsi="Calibri"/>
          <w:b w:val="0"/>
          <w:color w:val="3A4A28"/>
          <w:sz w:val="20"/>
        </w:rPr>
        <w:t>AI-assisted emergency dispatch system with Valencia EMS represents a scalable new product category in a growing emergency services market [2]</w:t>
      </w:r>
    </w:p>
    <w:p>
      <w:pPr>
        <w:spacing w:before="40" w:after="40"/>
        <w:ind w:left="283"/>
      </w:pPr>
      <w:r>
        <w:rPr>
          <w:rFonts w:ascii="Calibri" w:hAnsi="Calibri"/>
          <w:b/>
          <w:color w:val="4A6B25"/>
          <w:sz w:val="20"/>
        </w:rPr>
        <w:t xml:space="preserve">3. </w:t>
      </w:r>
      <w:r>
        <w:rPr>
          <w:rFonts w:ascii="Calibri" w:hAnsi="Calibri"/>
          <w:b w:val="0"/>
          <w:color w:val="3A4A28"/>
          <w:sz w:val="20"/>
        </w:rPr>
        <w:t>Continued acquisition pipeline targeting 10-20% inorganic growth in 2026, with successful integration track record of Predicare, Dermicus, and Aweria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illiquidity — 6,954 shares average daily volume (~$26K USD daily turnover) makes position building and exit virtually impossible for meaningful portfolio allocations [5]</w:t>
      </w:r>
    </w:p>
    <w:p>
      <w:pPr>
        <w:spacing w:before="40" w:after="40"/>
        <w:ind w:left="283"/>
      </w:pPr>
      <w:r>
        <w:rPr>
          <w:rFonts w:ascii="Calibri" w:hAnsi="Calibri"/>
          <w:b/>
          <w:color w:val="4A6B25"/>
          <w:sz w:val="20"/>
        </w:rPr>
        <w:t xml:space="preserve">2. </w:t>
      </w:r>
      <w:r>
        <w:rPr>
          <w:rFonts w:ascii="Calibri" w:hAnsi="Calibri"/>
          <w:b w:val="0"/>
          <w:color w:val="3A4A28"/>
          <w:sz w:val="20"/>
        </w:rPr>
        <w:t>Extreme leverage at 2,933% D/E from serial acquisitions creates financial fragility if EBITDA margins contract or acquisition integration stumbles [5]</w:t>
      </w:r>
    </w:p>
    <w:p>
      <w:pPr>
        <w:spacing w:before="40" w:after="40"/>
        <w:ind w:left="283"/>
      </w:pPr>
      <w:r>
        <w:rPr>
          <w:rFonts w:ascii="Calibri" w:hAnsi="Calibri"/>
          <w:b/>
          <w:color w:val="4A6B25"/>
          <w:sz w:val="20"/>
        </w:rPr>
        <w:t xml:space="preserve">3. </w:t>
      </w:r>
      <w:r>
        <w:rPr>
          <w:rFonts w:ascii="Calibri" w:hAnsi="Calibri"/>
          <w:b w:val="0"/>
          <w:color w:val="3A4A28"/>
          <w:sz w:val="20"/>
        </w:rPr>
        <w:t>GAAP vs. adjusted profitability gap — 1.33% net profit margin vs. 24% EBITDA margin raises earnings quality concerns as amortization and interest expense consume cash earnings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Omda's core healthcare software products operate in a heavily regulated, safety-critical domain where AI cannot easily substitute purpose-built clinical systems [1]. Blood management (ProSang), oncology medication dosing (Cytodose), and emergency dispatch coordination (CoordCom/AMIS) require deep regulatory compliance (MDR certification, GDPR), institutional trust, and integration with hospital workflows that create significant switching costs [2]. However, AI tools from larger healthcare IT vendors (Epic, Cerner/Oracle Health) could potentially encroach on imaging, analytics, and workflow automation — areas where Omda's specialized but small-scale solutions face competitive pressure from AI-enhanced enterprise platforms. AI Opportunity (1/1): Omda is actively deploying AI in emergency dispatch prioritization through its collaboration with Valencia Emergency Medical Service, representing early but concrete AI revenue generation in a mission-critical use case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Omda AS FY 2025 Annual Results — NOK 496M revenue, NOK 117M EBITDA, 24% margin, record Q4 revenue of NOK 135M, February 2026</w:t>
      </w:r>
    </w:p>
    <w:p>
      <w:pPr>
        <w:spacing w:before="20" w:after="20"/>
        <w:ind w:left="170"/>
      </w:pPr>
      <w:r>
        <w:rPr>
          <w:rFonts w:ascii="Calibri" w:hAnsi="Calibri"/>
          <w:b/>
          <w:color w:val="4A6B25"/>
          <w:sz w:val="15"/>
        </w:rPr>
        <w:t xml:space="preserve">2. </w:t>
      </w:r>
      <w:r>
        <w:rPr>
          <w:rFonts w:ascii="Calibri" w:hAnsi="Calibri"/>
          <w:b w:val="0"/>
          <w:color w:val="3A4A28"/>
          <w:sz w:val="17"/>
        </w:rPr>
        <w:t>Omda AS Corporate Website and LinkedIn — Company overview, leadership team, AI dispatch collaboration with Valencia EMS,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Omda AS Corporate Vision and Mission — 'Smarter Ways to a safe and healthy world', product philosophy, MDR certification,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Omda AS Sustainability Page — Corporate governance, Norwegian Corporate Governance Code, GDPR compliance,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OMDA.OL (Omda AS),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