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OMF</w:t>
      </w:r>
      <w:r>
        <w:rPr>
          <w:rFonts w:ascii="Calibri" w:hAnsi="Calibri"/>
          <w:b/>
          <w:color w:val="1A2010"/>
          <w:sz w:val="40"/>
        </w:rPr>
        <w:t xml:space="preserve">  OneMain Holdings, Inc.</w:t>
      </w:r>
    </w:p>
    <w:p>
      <w:pPr>
        <w:spacing w:after="120"/>
      </w:pPr>
      <w:r>
        <w:rPr>
          <w:rFonts w:ascii="Calibri" w:hAnsi="Calibri"/>
          <w:b/>
          <w:color w:val="6E8450"/>
          <w:sz w:val="18"/>
        </w:rPr>
        <w:t>DIVIDEND SLEEVE · 2026-04-25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OneMain Holdings is the largest nonprime personal lending company in the United States, with approximately 1,300 branch locations and $26.3 billion in managed receivables. The company provides secured and unsecured personal loans primarily to consumers with below-prime credit scores, operating through a hybrid branch-and-digital model. OneMain also issues social bonds and offers auto lending, credit cards, and insurance products.</w:t>
      </w:r>
    </w:p>
    <w:p>
      <w:r>
        <w:rPr>
          <w:rFonts w:ascii="Calibri" w:hAnsi="Calibri"/>
          <w:b/>
          <w:color w:val="6E8450"/>
          <w:sz w:val="18"/>
        </w:rPr>
        <w:t>9,000 Employees · https://www.onemainfinancial.com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CTO Larry Fitzpatrick has led OneMain's transformation from a branch-based single-product lender to a multi-product omnichannel company over the past several years, adding auto lending, credit cards, and insurance products [2]. However, the core business remains nonprime personal lending with incremental channel additions rather than transformative pivots. AI Deployment (1/2): OneMain formed a senior leadership working group approximately one year ago to examine AI use cases, updating policies and evaluating third-party pipelines [2]. The company has highlighted ethical AI considerations given the non-reproducible nature of generative AI in lending decisions. No AI products are shipping with measurable results yet. Market Share (2/2): OneMain is the nation's largest nonprime personal lender with $26.3B in managed receivables across approximately 1,300 branches, a scale advantage that no competitor matches in the below-prime lending segment [1]. Originations grew 8% YoY to $14.4B in 2025 [1]. Pipeline (0/2): No specific next-generation products announced with timelines or revenue visibility. The company's growth strategy is volume-based (6-9% managed receivables growth) rather than product-innovation-driven [1]. R&amp;D Intensity (0/1): As a financial services company, OneMain does not report R&amp;D spending. Technology investment is embedded in operations and is at or below industry average for fintech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OneMain's stated purpose is 'improving the financial well-being of hardworking Americans' — a clear articulation of the target customer and intent, but not distinctive enough to differentiate from any consumer lender serving underserved populations [2]. The mission identifies what the company does and for whom but does not articulate a deeper vision of a transformed future. Community Impact (1/2): OneMain issued a $750M social bond in 2021 to provide responsible loans to credit-insecure communities, with at least 75% of proceeds allocated to women or minority borrowers [3]. The company also implements green operational practices including fuel-efficient vehicles and energy reduction through virtual desktop infrastructure [3]. These are meaningful but standard corporate ESG initiatives. Employee Retention (0/2): No specific data on employee tenure, voluntary turnover, or cultural practices was found. With approximately 9,000 employees across 1,300 branches, retention data for branch-level staff was not publicly disclosed [2]. Insider Buying (0/2): No evidence of meaningful net insider buying by CEO Doug Shulman or other executives in the past 12 months. The company returned $639M to shareholders through dividends and buybacks in 2025, but these are corporate capital allocation decisions, not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OneMain's financial profile is strong on profitability and valuation metrics but penalized by the mechanical D/E calculation, which is structurally elevated for a lending company. D/E of 671% reflects the leveraged balance sheet inherent to consumer lending — the company's net leverage ratio improved to 5.4x from 5.6x and is well within industry norms [1]. ROE of 23.8% significantly exceeds the 15% target, demonstrating efficient capital deployment [4]. Forward P/E of 6.7x is exceptionally cheap, pricing in significant credit risk that has not materialized — net charge-offs improved to 7.56% from 7.63% [1]. Profit margin of 26.3% far exceeds the 20% target [4]. Revenue grew 12.2% YoY, and the 5yr CAGR of approximately 6.5% reflects moderate growth. Payout ratio of 39.5% is at target, with 7 consecutive years of dividend payment and 6 years of growth [5]. The 5yr dividend growth CAGR of 23.7% is exceptional [5]. Liquidity floor cleared: 1.60M avg volume × $59.44 = $95.1M [4]. Mechanical calculation: D/E 0.0(1x) + ROE 1.0(1x) + RevYoY 1.0(1x) + Rev5yr 0.77(1x) + FwdPE 1.0(1x) + Margin 1.0(1x) + Payout 1.0(1x) + YrsPaid 0.7(2x) + YrsGrowth 0.6(1x) + DivGrowth 1.0(2x) = 9.77/12 × 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OneMain operates with a largely finite mindset oriented around credit cycle management, quarterly earnings delivery, and shareholder returns optimization. CEO Doug Shulman's commentary focuses on 'great year' results, capital generation, and returning cash to shareholders rather than a long-term vision for transforming financial access for underserved Americans. The company plays to win each credit cycle rather than to advance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OneMain's mission to improve the financial well-being of hardworking Americans is a legitimate social purpose — providing credit access to nonprime borrowers who are underserved by traditional banks [2]. However, the mission reads more as marketing than as a Just Cause that shapes strategic decisions. When management discusses strategy, the language centers on managed receivables growth, capital generation, and EPS — not on a vision of transformed financial well-being. The purpose statement doesn't pass Sinek's test of being so compelling that people would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OneMain has a stable leadership team with CEO Doug Shulman providing multi-year continuity and CTO Larry Fitzpatrick driving the digital transformation [2]. The addition of a tech CEO (Andrew Macdonald) to the board signals investment in organizational capability. However, the branch-based model with 9,000 employees across 1,300 locations creates structural challenges for building high-trust culture at scale. No specific data on employee satisfaction, turnover, or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OneMain positions itself as 'the nation's largest nonprime lender' — language focused on dominance rather than improvement [1]. No evidence of management acknowledging fintech competitors' strengths (faster approval, better digital experience) as motivation for self-improvement. The competitive framing is about scale advantage and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OneMain has evolved from a branch-only, single-product personal lender to a multi-product omnichannel platform offering auto loans, credit cards, and insurance products [2]. The digital transformation and social bond issuance represent strategic adaptation. However, the core business model — lending money to nonprime borrowers at high interest rates — has not fundamentally changed. The evolution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$750M social bond issuance targeting women and minority borrowers demonstrated willingness to align capital markets activity with social purpose [3]. Management maintained lending discipline through credit cycle volatility, improving net charge-offs to 7.56% while growing receivables 6.4% [1]. However, no examples of leadership sacrificing short-term earnings for long-term capability or taking a principled stance that cost money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OneMain Holdings is the dominant U.S. nonprime personal lender delivering accelerating profitability — full-year 2025 net income surged 54% to $783M ($6.56 EPS) on revenue of $6.2B (+9%), with capital generation up 33% to $913M [1]. At 6.7x forward earnings with a 7.1% dividend yield and 39.5% payout ratio, the stock offers compelling value for income investors willing to accept credit risk exposure [4][5]. Net charge-offs improved to 7.56% from 7.63% despite $26.3B in managed receivables (+6%), demonstrating credit discipline through the cycle [1]. The 23.7% 5yr dividend growth CAGR and 6 consecutive years of increases signal management's commitment to returning capital, with $639M distributed to shareholders in 2025.</w:t>
      </w:r>
    </w:p>
    <w:p>
      <w:pPr>
        <w:spacing w:after="120"/>
      </w:pPr>
      <w:r>
        <w:rPr>
          <w:rFonts w:ascii="Calibri" w:hAnsi="Calibri"/>
          <w:b w:val="0"/>
          <w:color w:val="3A4A28"/>
          <w:sz w:val="20"/>
        </w:rPr>
        <w:t>The bear case centers on credit cycle vulnerability and structural disruption risk. OneMain's 671% debt-to-equity ratio is inherent to the lending model but creates existential risk in a severe recession — a spike in unemployment would rapidly increase defaults across the $26.3B portfolio of nonprime borrowers [4]. The 7.56% net charge-off rate, while improving, is already high by lending standards and leaves minimal margin for deterioration. AI-powered fintech lenders (Upstart, SoFi, LendingClub) are increasingly targeting the nonprime segment with faster, cheaper digital-first models that could erode OneMain's branch-based competitive advantage [2]. The 1,300-branch network is an asset in relationship lending but a liability if consumer preferences shift fully digital. Regulatory risk around nonprime lending practices (interest rates, fee structures) could compress margins. Revenue growth of 6.5% 5yr CAGR suggests the company is growing in line with its loan book rather than innovating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Managed receivables growth guidance of 6-9% for 2026 with improving credit quality — net charge-offs declined while originations grew 8% to $14.4B, suggesting benign credit conditions [1]</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 $4.20/share annual dividend (7.1% yield) with 23.7% 5yr CAGR and expanding capital generation ($913M in 2025) supporting continued increases [1][5]</w:t>
      </w:r>
    </w:p>
    <w:p>
      <w:pPr>
        <w:spacing w:before="40" w:after="40"/>
        <w:ind w:left="283"/>
      </w:pPr>
      <w:r>
        <w:rPr>
          <w:rFonts w:ascii="Calibri" w:hAnsi="Calibri"/>
          <w:b/>
          <w:color w:val="4A6B25"/>
          <w:sz w:val="20"/>
        </w:rPr>
        <w:t xml:space="preserve">3. </w:t>
      </w:r>
      <w:r>
        <w:rPr>
          <w:rFonts w:ascii="Calibri" w:hAnsi="Calibri"/>
          <w:b w:val="0"/>
          <w:color w:val="3A4A28"/>
          <w:sz w:val="20"/>
        </w:rPr>
        <w:t>Multi-product expansion into auto lending, credit cards, and insurance cross-selling across the 1,300-branch network, deepening customer relationships and diversifying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a recession-driven spike in unemployment would disproportionately impact nonprime borrowers, potentially doubling net charge-offs from the current 7.56% and threatening the 671% leveraged balance sheet [1][4]</w:t>
      </w:r>
    </w:p>
    <w:p>
      <w:pPr>
        <w:spacing w:before="40" w:after="40"/>
        <w:ind w:left="283"/>
      </w:pPr>
      <w:r>
        <w:rPr>
          <w:rFonts w:ascii="Calibri" w:hAnsi="Calibri"/>
          <w:b/>
          <w:color w:val="4A6B25"/>
          <w:sz w:val="20"/>
        </w:rPr>
        <w:t xml:space="preserve">2. </w:t>
      </w:r>
      <w:r>
        <w:rPr>
          <w:rFonts w:ascii="Calibri" w:hAnsi="Calibri"/>
          <w:b w:val="0"/>
          <w:color w:val="3A4A28"/>
          <w:sz w:val="20"/>
        </w:rPr>
        <w:t>Fintech disruption from AI-powered lenders targeting nonprime borrowers with faster digital approval and lower operating costs, undermining the branch-based lending model's competitive advantage [2]</w:t>
      </w:r>
    </w:p>
    <w:p>
      <w:pPr>
        <w:spacing w:before="40" w:after="40"/>
        <w:ind w:left="283"/>
      </w:pPr>
      <w:r>
        <w:rPr>
          <w:rFonts w:ascii="Calibri" w:hAnsi="Calibri"/>
          <w:b/>
          <w:color w:val="4A6B25"/>
          <w:sz w:val="20"/>
        </w:rPr>
        <w:t xml:space="preserve">3. </w:t>
      </w:r>
      <w:r>
        <w:rPr>
          <w:rFonts w:ascii="Calibri" w:hAnsi="Calibri"/>
          <w:b w:val="0"/>
          <w:color w:val="3A4A28"/>
          <w:sz w:val="20"/>
        </w:rPr>
        <w:t>Regulatory risk around high-interest nonprime lending — state-level interest rate caps, CFPB scrutiny, or fee disclosure requirements could compress margins on the core personal lending product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OneMain's core business of nonprime personal lending faces meaningful AI disruption risk from multiple angles. AI-powered underwriting platforms (Upstart, SoFi, fintech lenders) can assess creditworthiness more efficiently than traditional branch-based models, potentially eroding OneMain's competitive advantage in serving below-prime borrowers [2]. The 1,300-branch network that provides relationship-based lending could become a cost disadvantage as digital-first competitors use AI to approve and fund loans instantly. However, OneMain's deep relationships with nonprime borrowers, proprietary credit data on this segment, and physical branch presence provide meaningful switching costs — many nonprime borrowers prefer in-person interactions and lack digital sophistication. The company's cautious approach to AI (highlighting ethical concerns about non-reproducible AI decisions in lending) shows awareness but not urgency [2]. AI Opportunity (0/1): No AI revenue. The company is in the exploration phase of AI adoption with a working group evaluating use cases [2]. No AI-powered products shipping or measurable AI-driven savings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OneMain Holdings Q4 and Full Year 2025 Earnings Release — $6.2B revenue, $783M net income, $26.3B managed receivables, February 5, 2026</w:t>
      </w:r>
    </w:p>
    <w:p>
      <w:pPr>
        <w:spacing w:before="20" w:after="20"/>
        <w:ind w:left="170"/>
      </w:pPr>
      <w:r>
        <w:rPr>
          <w:rFonts w:ascii="Calibri" w:hAnsi="Calibri"/>
          <w:b/>
          <w:color w:val="4A6B25"/>
          <w:sz w:val="15"/>
        </w:rPr>
        <w:t xml:space="preserve">2. </w:t>
      </w:r>
      <w:r>
        <w:rPr>
          <w:rFonts w:ascii="Calibri" w:hAnsi="Calibri"/>
          <w:b w:val="0"/>
          <w:color w:val="3A4A28"/>
          <w:sz w:val="17"/>
        </w:rPr>
        <w:t>OneMain Financial corporate website — leadership team, CTO transformation, AI working group, mission statement, 2025-2026</w:t>
      </w:r>
    </w:p>
    <w:p>
      <w:pPr>
        <w:spacing w:before="20" w:after="20"/>
        <w:ind w:left="170"/>
      </w:pPr>
      <w:r>
        <w:rPr>
          <w:rFonts w:ascii="Calibri" w:hAnsi="Calibri"/>
          <w:b/>
          <w:color w:val="4A6B25"/>
          <w:sz w:val="15"/>
        </w:rPr>
        <w:t xml:space="preserve">3. </w:t>
      </w:r>
      <w:r>
        <w:rPr>
          <w:rFonts w:ascii="Calibri" w:hAnsi="Calibri"/>
          <w:b w:val="0"/>
          <w:color w:val="3A4A28"/>
          <w:sz w:val="17"/>
        </w:rPr>
        <w:t>OneMain Financial sustainability page and Environmental Finance — $750M social bond, ESG initiatives, 2021-2025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OMF (OneMain Holdings), retrieved April 25, 2026</w:t>
      </w:r>
    </w:p>
    <w:p>
      <w:pPr>
        <w:spacing w:before="20" w:after="20"/>
        <w:ind w:left="170"/>
      </w:pPr>
      <w:r>
        <w:rPr>
          <w:rFonts w:ascii="Calibri" w:hAnsi="Calibri"/>
          <w:b/>
          <w:color w:val="4A6B25"/>
          <w:sz w:val="15"/>
        </w:rPr>
        <w:t xml:space="preserve">5. </w:t>
      </w:r>
      <w:r>
        <w:rPr>
          <w:rFonts w:ascii="Calibri" w:hAnsi="Calibri"/>
          <w:b w:val="0"/>
          <w:color w:val="3A4A28"/>
          <w:sz w:val="17"/>
        </w:rPr>
        <w:t>Dividend.com / StockInvest — OMF dividend history, 7 consecutive years paid, 6 years growth, 23.7% 5yr CAGR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