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ONB</w:t>
      </w:r>
      <w:r>
        <w:rPr>
          <w:rFonts w:ascii="Calibri" w:hAnsi="Calibri"/>
          <w:b/>
          <w:color w:val="1A2010"/>
          <w:sz w:val="40"/>
        </w:rPr>
        <w:t xml:space="preserve">  Old National Bancorp</w:t>
      </w:r>
    </w:p>
    <w:p>
      <w:pPr>
        <w:spacing w:after="120"/>
      </w:pPr>
      <w:r>
        <w:rPr>
          <w:rFonts w:ascii="Calibri" w:hAnsi="Calibri"/>
          <w:b/>
          <w:color w:val="6E8450"/>
          <w:sz w:val="18"/>
        </w:rPr>
        <w:t>DIVIDEND SLEEVE · 2026-04-09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Old National Bancorp operates as the bank holding company for Old National Bank, providing consumer and commercial banking services across the Midwest and Southeast United States. The bank offers deposit accounts, commercial and residential loans, wealth management, and treasury services, with approximately $53 billion in total assets following strategic acquisitions.</w:t>
      </w:r>
    </w:p>
    <w:p>
      <w:r>
        <w:rPr>
          <w:rFonts w:ascii="Calibri" w:hAnsi="Calibri"/>
          <w:b/>
          <w:color w:val="6E8450"/>
          <w:sz w:val="18"/>
        </w:rPr>
        <w:t>4,971 Employees · https://www.oldnational.com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Old National completed the transformative CapStar Financial acquisition in 2024, expanding into Nashville and significantly growing the franchise to ~$53B in total assets [1]. The bank also integrated Infosys for operational and technological transformation in 2025, modernizing its core banking platform [3]. AI Deployment (1/2): ONB implemented AI credit scoring that cut commercial loan processing times by 30% while preserving conservative risk metrics, though this is internal efficiency rather than customer-facing AI products [3]. Market Share (1/2): ONB is a meaningful regional player in the Midwest and Southeast with ~$53B in assets, but is not a category leader or share gainer in a highly fragmented market. Pipeline (1/2): Management guided for 4-6% loan growth in 2026 and expects $5B in new loan volume repricing at higher yields, with high-teens ROATCE targets, but no transformative products in the pipeline [1]. R&amp;D Intensity (0/1): Banking R&amp;D is primarily IT modernization; ONB's Infosys partnership is notable but R&amp;D spend is not differentiated from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Old National's stated purpose is 'to be the bank our clients, team members, shareholders, and communities deserve,' which is clear and stakeholder-oriented but not distinctive or transformative — it could describe most community banks. Community Impact (2/2): Named a World's Most Ethical Company by Ethisphere for six consecutive years, with documented community reinvestment programs, financial literacy initiatives, and strong CRA performance across its Midwest and Southeast footprint [4]. Employee Retention (1/2): Glassdoor rating of 3.4/5 with 3.9 for culture and values, though employee reviews note stress from back-to-back mergers causing turnover — 'constant changes' cited as a negative [3]. Average for the banking sector. Insider Buying (1/2): CEO Jim Ryan's compensation is 83.9% stock-based ($7.54M total), demonstrating significant equity alignment, though specific net insider buying data for the last 12 months was not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Old National's financial profile is strong for a regional bank. Revenue grew 33.9% YoY to $2.52B driven by the CapStar acquisition and organic growth, with net income of $669M (up 24% YoY) [1]. Forward P/E of 8.1x is extremely attractive, well below the 20x target. Profit margin of 29.1% is excellent for a bank. D/E of 85.8% is moderate — elevated versus the 70% target but well within the 300% floor. ROE of 9.0% is below the 15% target, reflecting the dilution from recent acquisitions. Payout ratio of 31.3% is conservative, and the bank has paid dividends for 37+ consecutive years [5]. However, the dividend has been flat at $0.56/year since 2020, resulting in 0% five-year CAGR and zero consecutive years of growth — the main weakness. Liquidity is ample at $74.6M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Old National plays a patient long-term game through consistent community banking and strategic acquisitions, but the rapid M&amp;A pace (CapStar, Bremer Financial) introduces execution risk and cultural integration challenges that strain the infinite game thesis. The 37-year dividend track record and six consecutive Ethisphere awards demonstrate institutional endurance, though the flat dividend since 2020 suggests prioritizing balance sheet management over shareholder growth commitment.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Old National's purpose of serving clients, team members, shareholders, and communities is genuine but not distinctive — it reads as a well-intentioned stakeholder pledge rather than a Just Cause that inspires sacrifice [4]. The six consecutive Ethisphere awards validate ethical behavior, but the purpose hasn't shaped transformative strategic decisions. One point: the cause exists but is shallow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3.9/5 culture and values rating suggests adequate trust, and CEO Jim Ryan's leadership since 2019 provides continuity [3]. However, employees explicitly cite stress from 'back-to-back mergers' causing turnover, which undermines psychological safety during integration periods. Stable but not exceptional trust environment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acknowledges competitive dynamics with larger regional peers and fintech challengers, framing the Infosys partnership and AI investments as ways to compete on capability rather than simply scale [3]. The bank's approach to competition through strategic acquisition and capability building, rather than aggressive market share rhetoric, reflects an improvement-oriented mindset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ONB has demonstrated meaningful strategic evolution — transforming from a small Indiana community bank to a $53B multi-state franchise through disciplined acquisitions (CapStar, Bremer Financial), and investing in technology modernization via the Infosys partnership [1][3]. These are incremental rather than transformative pivots, but they show adaptability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pursue major acquisitions during a challenging banking environment (rising rates, deposit competition) required conviction in the long-term franchise-building strategy [1]. Holding the dividend flat since 2020 to fund integration and maintain capital ratios demonstrates willingness to choose balance sheet strength over near-term shareholder appeasement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Old National Bancorp is a well-managed Midwest/Southeast regional bank delivering strong earnings momentum — Q4 2025 adjusted EPS of $0.62 was up 27% YoY, with full-year net income of $669M on $2.52B in revenue [1]. The CapStar acquisition expanded the franchise into the high-growth Nashville market, and management targets 15% earnings growth with high-teens ROATCE in 2026 [1]. At 8.1x forward P/E, the stock is attractively valued versus the bank's improving profitability trajectory. A 31.3% payout ratio provides ample room for dividend increases, and $5.0B of repricing loan volume plus $2.9B in securities cash flow should support net interest margin expansion [1]. Six consecutive Ethisphere awards and a 37-year dividend track record demonstrate institutional quality.</w:t>
      </w:r>
    </w:p>
    <w:p>
      <w:pPr>
        <w:spacing w:after="120"/>
      </w:pPr>
      <w:r>
        <w:rPr>
          <w:rFonts w:ascii="Calibri" w:hAnsi="Calibri"/>
          <w:b w:val="0"/>
          <w:color w:val="3A4A28"/>
          <w:sz w:val="20"/>
        </w:rPr>
        <w:t>The bear case centers on acquisition integration risk and sub-par capital returns. Back-to-back major acquisitions (CapStar, Bremer Financial) create substantial execution risk — integration costs, cultural friction, and management bandwidth constraints are real concerns [3]. ROE of 9.0% is below the 15% industry benchmark, reflecting goodwill dilution from acquisitions that may take years to earn back. The dividend has been flat at $0.56/year since 2020 despite growing earnings, meaning dividend investors have received zero income growth through a period of significant inflation. Revenue growth of 33.9% is largely acquisition-driven rather than organic, making the underlying growth rate harder to assess. Regional banking faces secular headwinds from deposit competition, fintech disruption, and potential credit deterioration as commercial real estate and consumer portfolios season through the economic cycle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Repricing tailwinds from $5.0B of new loan volume at higher yields and $2.9B in securities cash flow supporting NIM expansion through 2026 [1]</w:t>
      </w:r>
    </w:p>
    <w:p>
      <w:pPr>
        <w:spacing w:before="40" w:after="40"/>
        <w:ind w:left="283"/>
      </w:pPr>
      <w:r>
        <w:rPr>
          <w:rFonts w:ascii="Calibri" w:hAnsi="Calibri"/>
          <w:b/>
          <w:color w:val="4A6B25"/>
          <w:sz w:val="20"/>
        </w:rPr>
        <w:t xml:space="preserve">2. </w:t>
      </w:r>
      <w:r>
        <w:rPr>
          <w:rFonts w:ascii="Calibri" w:hAnsi="Calibri"/>
          <w:b w:val="0"/>
          <w:color w:val="3A4A28"/>
          <w:sz w:val="20"/>
        </w:rPr>
        <w:t>Potential dividend increase — payout ratio of 31.3% and 15% earnings growth target create capacity for the first dividend raise since 2020 [1]</w:t>
      </w:r>
    </w:p>
    <w:p>
      <w:pPr>
        <w:spacing w:before="40" w:after="40"/>
        <w:ind w:left="283"/>
      </w:pPr>
      <w:r>
        <w:rPr>
          <w:rFonts w:ascii="Calibri" w:hAnsi="Calibri"/>
          <w:b/>
          <w:color w:val="4A6B25"/>
          <w:sz w:val="20"/>
        </w:rPr>
        <w:t xml:space="preserve">3. </w:t>
      </w:r>
      <w:r>
        <w:rPr>
          <w:rFonts w:ascii="Calibri" w:hAnsi="Calibri"/>
          <w:b w:val="0"/>
          <w:color w:val="3A4A28"/>
          <w:sz w:val="20"/>
        </w:rPr>
        <w:t>CapStar integration synergies fully realized by mid-2026, with Nashville market exposure adding a high-growth geography to the franchise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from consecutive major acquisitions (CapStar, Bremer) straining management bandwidth and causing employee turnover [3]</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exposure in a rising-rate environment — potential credit deterioration as CRE loans season and refinancing pressure builds [1]</w:t>
      </w:r>
    </w:p>
    <w:p>
      <w:pPr>
        <w:spacing w:before="40" w:after="40"/>
        <w:ind w:left="283"/>
      </w:pPr>
      <w:r>
        <w:rPr>
          <w:rFonts w:ascii="Calibri" w:hAnsi="Calibri"/>
          <w:b/>
          <w:color w:val="4A6B25"/>
          <w:sz w:val="20"/>
        </w:rPr>
        <w:t xml:space="preserve">3. </w:t>
      </w:r>
      <w:r>
        <w:rPr>
          <w:rFonts w:ascii="Calibri" w:hAnsi="Calibri"/>
          <w:b w:val="0"/>
          <w:color w:val="3A4A28"/>
          <w:sz w:val="20"/>
        </w:rPr>
        <w:t>ROE dilution from acquisition goodwill may persist longer than expected, keeping returns below cost of equity and limiting valuation re-rating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Regional banking is substantially protected from AI disruption — the core business of relationship lending, deposit gathering, and wealth management relies on human relationships, local market knowledge, and regulatory infrastructure that AI cannot replicate [3]. Commercial lending decisions require nuanced credit judgment and relationship context. However, portions of the business (loan processing, back-office operations, basic consumer banking) face efficiency pressure from fintech and AI-powered competitors. ONB's proactive AI credit scoring integration demonstrates awareness and adaptation [3]. AI Opportunity (1/1): The bank is generating measurable value from AI deployment — AI credit scoring reduced commercial loan processing times by 30%, and the Infosys partnership is building scalable AI-powered operational capabilities across the franchise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Old National Bancorp Q4/Full-Year 2025 Earnings Release — $2.52B revenue, $669M net income, adjusted EPS $0.62, January 2026</w:t>
      </w:r>
    </w:p>
    <w:p>
      <w:pPr>
        <w:spacing w:before="20" w:after="20"/>
        <w:ind w:left="170"/>
      </w:pPr>
      <w:r>
        <w:rPr>
          <w:rFonts w:ascii="Calibri" w:hAnsi="Calibri"/>
          <w:b/>
          <w:color w:val="4A6B25"/>
          <w:sz w:val="15"/>
        </w:rPr>
        <w:t xml:space="preserve">2. </w:t>
      </w:r>
      <w:r>
        <w:rPr>
          <w:rFonts w:ascii="Calibri" w:hAnsi="Calibri"/>
          <w:b w:val="0"/>
          <w:color w:val="3A4A28"/>
          <w:sz w:val="17"/>
        </w:rPr>
        <w:t>TipRanks — Old National Bancorp Earnings Call Signals Durable Upside, January 2026</w:t>
      </w:r>
    </w:p>
    <w:p>
      <w:pPr>
        <w:spacing w:before="20" w:after="20"/>
        <w:ind w:left="170"/>
      </w:pPr>
      <w:r>
        <w:rPr>
          <w:rFonts w:ascii="Calibri" w:hAnsi="Calibri"/>
          <w:b/>
          <w:color w:val="4A6B25"/>
          <w:sz w:val="15"/>
        </w:rPr>
        <w:t xml:space="preserve">3. </w:t>
      </w:r>
      <w:r>
        <w:rPr>
          <w:rFonts w:ascii="Calibri" w:hAnsi="Calibri"/>
          <w:b w:val="0"/>
          <w:color w:val="3A4A28"/>
          <w:sz w:val="17"/>
        </w:rPr>
        <w:t>Infosys/Old National Partnership Announcement — AI credit scoring, operational transformation, Glassdoor reviews, 2025</w:t>
      </w:r>
    </w:p>
    <w:p>
      <w:pPr>
        <w:spacing w:before="20" w:after="20"/>
        <w:ind w:left="170"/>
      </w:pPr>
      <w:r>
        <w:rPr>
          <w:rFonts w:ascii="Calibri" w:hAnsi="Calibri"/>
          <w:b/>
          <w:color w:val="4A6B25"/>
          <w:sz w:val="15"/>
        </w:rPr>
        <w:t xml:space="preserve">4. </w:t>
      </w:r>
      <w:r>
        <w:rPr>
          <w:rFonts w:ascii="Calibri" w:hAnsi="Calibri"/>
          <w:b w:val="0"/>
          <w:color w:val="3A4A28"/>
          <w:sz w:val="17"/>
        </w:rPr>
        <w:t>Ethisphere Institute — Old National named World's Most Ethical Company (6 consecutive years); ESG Report 2023</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ONB (Old National Bancorp),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