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ONMD</w:t>
      </w:r>
      <w:r>
        <w:rPr>
          <w:rFonts w:ascii="Calibri" w:hAnsi="Calibri"/>
          <w:b/>
          <w:color w:val="1A2010"/>
          <w:sz w:val="40"/>
        </w:rPr>
        <w:t xml:space="preserve">  OneMedNet Corp</w:t>
      </w:r>
    </w:p>
    <w:p>
      <w:pPr>
        <w:spacing w:after="120"/>
      </w:pPr>
      <w:r>
        <w:rPr>
          <w:rFonts w:ascii="Calibri" w:hAnsi="Calibri"/>
          <w:b/>
          <w:color w:val="6E8450"/>
          <w:sz w:val="18"/>
        </w:rPr>
        <w:t>GROWTH SLEEVE · 2026-04-02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OneMedNet is a healthcare data company that curates regulatory-grade imaging Real World Data (iRWD) from a network of 2,130+ healthcare provider sites encompassing 186 million clinical exams. The company provides de-identified medical imaging and electronic health records to pharmaceutical companies, medical device manufacturers, and AI developers for drug development, clinical validation, and AI model training.</w:t>
      </w:r>
    </w:p>
    <w:p>
      <w:r>
        <w:rPr>
          <w:rFonts w:ascii="Calibri" w:hAnsi="Calibri"/>
          <w:b/>
          <w:color w:val="6E8450"/>
          <w:sz w:val="18"/>
        </w:rPr>
        <w:t>25 Employees · https://www.onemednet.com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OneMedNet expanded its provider network 37% YoY to 2,130 sites covering 186 million clinical exams, and grew 2025 bookings 4.1x to $2.79M — demonstrating traction in the iRWD platform, though revenue conversion remains minimal at $510K TTM [1]. AI Deployment (2/2): The Palantir partnership launched in 2025 integrates Palantir's AI platform for multimodal subscription search and data analytics, with AI-driven data de-identification algorithms already powering the platform and MedCase data annotation expanding into the $1.5B healthcare data annotation market [2]. Market Share (1/2): OneMedNet claims to be the leading curator of regulatory-grade imaging Real World Data, but the $510K revenue against a large addressable market suggests early-stage positioning rather than market dominance [1]. Pipeline (1/2): Palantir-powered Subscription Search and Subscription Data License products planned for early 2026 launch, plus expansion into HEOR and analytics services; the shift to recurring subscription revenue represents a meaningful business model evolution [1]. R&amp;D Intensity (1/1): For a company generating $510K in revenue, the R&amp;D and platform development investment is substantial relative to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OneMedNet's stated mission of 'revolutionizing how the world unlocks Real-World Data' to fuel medical breakthroughs is clear, specific to the company's work, and connects to meaningful health outcomes — but it has not been validated through long-term execution [2]. Community Impact (0/2): No evidence of charitable programs, community investment, or philanthropic initiatives; the company is a micro-cap startup focused on survival and growth [3]. Employee Retention (1/2): CEO Aaron Green joined in 2024 with 20+ years of healthcare IT experience at Change Healthcare and McKesson; CTO Carrie Manthei and Director Khoi Ho bring 25-30 years of experience each, suggesting a committed leadership team despite the company's small size and financial challenges [2]. Insider Buying (0/2): No evidence of meaningful insider buying; the company has been raising capital to fund operations rather than seeing insider conviction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OneMedNet's infrastructure score is calculated from limited available metrics due to its micro-cap, pre-profitability status. Most financial metrics are unavailable or at floor values [4]. Revenue growth of 33.3% YoY earns a perfect score on that metric, though this is off a tiny $510K base [1]. Profit margin of -206.1% reflects massive losses relative to revenue, scoring at the floor [4]. D/E, ROE, Forward P/E, and PEG are all unavailable due to negative equity (-$3.94M) and unprofitability [4]. The company reduced total liabilities by $19.6M (~75%) in 2025, a significant balance sheet improvement [1]. Market cap of ~$44M and negative equity make this a speculative micro-cap. Liquidity floor passes at $3.4M daily turnover (4M avg volume x $0.84)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OneMedNet operates with a largely finite mindset driven by survival imperatives — the company is burning cash with $510K in TTM revenue against significant operating losses. Strategic decisions appear driven by capital raising and partnership announcements rather than a deeply held long-term cause. The CEO transition in 2024 and rapid strategic pivots toward Palantir and subscription models suggest adaptive but reactive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vision of democratizing access to Real World Data for medical breakthroughs is genuine but undifferentiated — many healthcare data companies make similar claims. The cause has not been tested through adversity or validated by consistent execution over time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succession in 2024 (Green replacing Casey) suggests leadership instability for a company this small. With approximately 25 employees and severe financial constraints ($510K revenue), the organizational environment is high-stress with limited resources for building a culture of psychological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OneMedNet's competitive language focuses on being the 'leading curator' and 'revolutionizing' data access rather than acknowledging the strengths of larger competitors like Flatiron Health, Tempus, or Veracyte. No evidence of competitive humility or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data licensing to Palantir-powered AI subscription services and the expansion into the healthcare data annotation market (MedCase) demonstrate willingness to evolve the business model. The shift from one-time data sales to recurring subscription revenue is a meaningful strategic evolution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heavily in the Palantir partnership and platform development while generating only $510K in revenue shows conviction in the long-term vision over short-term financial prudence. The $19.6M liability reduction demonstrates decisive balance sheet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OneMedNet is positioned at the intersection of healthcare data and AI — two of the fastest-growing markets in technology. The company's iRWD platform provides regulatory-grade de-identified medical imaging data from 2,130+ healthcare sites (186 million clinical exams) to pharma, device, and AI companies [1][2]. 2025 bookings surged 4.1x to $2.79M, and the Palantir partnership adds AI-powered subscription search and analytics capabilities that could transform the business model from episodic data licensing to recurring subscription revenue [1]. The FDA and EMA are increasingly encouraging Real-World Evidence in drug approvals, creating a secular tailwind for the company's data assets. At $44M market cap, ONMD offers significant upside if execution delivers on the bookings pipeline.</w:t>
      </w:r>
    </w:p>
    <w:p>
      <w:pPr>
        <w:spacing w:after="120"/>
      </w:pPr>
      <w:r>
        <w:rPr>
          <w:rFonts w:ascii="Calibri" w:hAnsi="Calibri"/>
          <w:b w:val="0"/>
          <w:color w:val="3A4A28"/>
          <w:sz w:val="20"/>
        </w:rPr>
        <w:t>The bear case is severe. OneMedNet generates only $510K in trailing revenue with a -206.1% profit margin and negative equity of -$3.94M — this is a pre-revenue startup with existential financial risk [4]. The stock trades at $0.84 with a consensus 'Sell' rating from analysts, and the company has been burning cash consistently [1]. Larger, better-funded competitors (Flatiron Health/Roche, Tempus AI, Veracyte) are building competing healthcare data platforms with deeper provider relationships and stronger balance sheets. The 2024 CEO transition raises leadership continuity questions. Converting $2.79M in bookings to recognized revenue and then to profitability is a multi-year journey with no guarantee of success. The micro-cap stock is highly volatile (52-week range $0.30-$4.22) and could require further dilutive capital raises to fund operations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Palantir-powered Subscription Search and Data License product launches in early 2026 — successful conversion of $2.79M bookings backlog to recurring revenue would validate the business model transition [1]</w:t>
      </w:r>
    </w:p>
    <w:p>
      <w:pPr>
        <w:spacing w:before="40" w:after="40"/>
        <w:ind w:left="283"/>
      </w:pPr>
      <w:r>
        <w:rPr>
          <w:rFonts w:ascii="Calibri" w:hAnsi="Calibri"/>
          <w:b/>
          <w:color w:val="4A6B25"/>
          <w:sz w:val="20"/>
        </w:rPr>
        <w:t xml:space="preserve">2. </w:t>
      </w:r>
      <w:r>
        <w:rPr>
          <w:rFonts w:ascii="Calibri" w:hAnsi="Calibri"/>
          <w:b w:val="0"/>
          <w:color w:val="3A4A28"/>
          <w:sz w:val="20"/>
        </w:rPr>
        <w:t>FDA/EMA regulatory momentum toward accepting Real-World Evidence in drug approvals — creates secular demand tailwind for iRWD platform and imaging data [2]</w:t>
      </w:r>
    </w:p>
    <w:p>
      <w:pPr>
        <w:spacing w:before="40" w:after="40"/>
        <w:ind w:left="283"/>
      </w:pPr>
      <w:r>
        <w:rPr>
          <w:rFonts w:ascii="Calibri" w:hAnsi="Calibri"/>
          <w:b/>
          <w:color w:val="4A6B25"/>
          <w:sz w:val="20"/>
        </w:rPr>
        <w:t xml:space="preserve">3. </w:t>
      </w:r>
      <w:r>
        <w:rPr>
          <w:rFonts w:ascii="Calibri" w:hAnsi="Calibri"/>
          <w:b w:val="0"/>
          <w:color w:val="3A4A28"/>
          <w:sz w:val="20"/>
        </w:rPr>
        <w:t>Expansion into the $1.5B healthcare data annotation market via MedCase — opens an adjacent revenue stream leveraging the existing provider network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 $510K TTM revenue, -206.1% profit margin, and negative equity require continued capital raises that dilute shareholders and may not materialize in adverse market conditions [4]</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 Flatiron Health (Roche), Tempus AI, and other well-funded healthcare data platforms could replicate OneMedNet's provider network with superior resources and established pharma relationships [2]</w:t>
      </w:r>
    </w:p>
    <w:p>
      <w:pPr>
        <w:spacing w:before="40" w:after="40"/>
        <w:ind w:left="283"/>
      </w:pPr>
      <w:r>
        <w:rPr>
          <w:rFonts w:ascii="Calibri" w:hAnsi="Calibri"/>
          <w:b/>
          <w:color w:val="4A6B25"/>
          <w:sz w:val="20"/>
        </w:rPr>
        <w:t xml:space="preserve">3. </w:t>
      </w:r>
      <w:r>
        <w:rPr>
          <w:rFonts w:ascii="Calibri" w:hAnsi="Calibri"/>
          <w:b w:val="0"/>
          <w:color w:val="3A4A28"/>
          <w:sz w:val="20"/>
        </w:rPr>
        <w:t>Bookings-to-revenue conversion risk — $2.79M in 2025 bookings represents potential, not recognized revenue; execution on the Palantir-powered subscription model remains unproven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OneMedNet operates in a space where AI is both the opportunity and the threat. The company's core value proposition — curating de-identified medical imaging data for AI training — depends on healthcare AI adoption growing, but larger competitors (Flatiron Health/Roche, Tempus, Veracyte) with deeper resources could build competing data networks [2]. The regulatory-grade data curation and established 2,130-site network provide some defensibility, but the $510K revenue base suggests the moat is early-stage. Switching costs are moderate — healthcare systems could provide data to multiple aggregators. AI Opportunity (1/1): OneMedNet's entire business is AI-driven — the Palantir partnership, AI-powered de-identification algorithms, MedCase data annotation for AI training, and subscription search are all AI revenue streams, with $2.79M in 2025 bookings directly attributable to AI-driven data products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OneMedNet Q1 FY2026 Earnings Report and 2025 Annual Results — $510K TTM revenue, $2.79M bookings (4.1x growth), $19.6M liability reduction, April 2026</w:t>
      </w:r>
    </w:p>
    <w:p>
      <w:pPr>
        <w:spacing w:before="20" w:after="20"/>
        <w:ind w:left="170"/>
      </w:pPr>
      <w:r>
        <w:rPr>
          <w:rFonts w:ascii="Calibri" w:hAnsi="Calibri"/>
          <w:b/>
          <w:color w:val="4A6B25"/>
          <w:sz w:val="15"/>
        </w:rPr>
        <w:t xml:space="preserve">2. </w:t>
      </w:r>
      <w:r>
        <w:rPr>
          <w:rFonts w:ascii="Calibri" w:hAnsi="Calibri"/>
          <w:b w:val="0"/>
          <w:color w:val="3A4A28"/>
          <w:sz w:val="17"/>
        </w:rPr>
        <w:t>OneMedNet Corporate Website, Palantir Partnership, MedCase Launch — iRWD platform, AI-powered data de-identification, management team bios,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OneMedNet ESG and Governance — no notable controversies found in public sources,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ONMD key statistics,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