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ONON</w:t>
      </w:r>
      <w:r>
        <w:rPr>
          <w:rFonts w:ascii="Calibri" w:hAnsi="Calibri"/>
          <w:b/>
          <w:color w:val="1A2010"/>
          <w:sz w:val="40"/>
        </w:rPr>
        <w:t xml:space="preserve">  On Holding AG</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Switzerland</w:t>
      </w:r>
    </w:p>
    <w:p>
      <w:pPr>
        <w:spacing w:after="80"/>
      </w:pPr>
      <w:r>
        <w:rPr>
          <w:rFonts w:ascii="Calibri" w:hAnsi="Calibri"/>
          <w:b w:val="0"/>
          <w:color w:val="3A4A28"/>
          <w:sz w:val="20"/>
        </w:rPr>
        <w:t>On Holding AG develops and distributes premium performance sports products including athletic footwear, apparel, and accessories under the On brand. Founded in 2010 in Zurich, the company sells through wholesale and direct-to-consumer channels across running, outdoor, training, and tennis categories. On is known for its CloudTec cushioning technology and has rapidly scaled to CHF 3.0B in annual revenue.</w:t>
      </w:r>
    </w:p>
    <w:p>
      <w:r>
        <w:rPr>
          <w:rFonts w:ascii="Calibri" w:hAnsi="Calibri"/>
          <w:b/>
          <w:color w:val="6E8450"/>
          <w:sz w:val="18"/>
        </w:rPr>
        <w:t>3,963 Employees · https://www.on.com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 has successfully scaled from a niche Swiss running brand to a CHF 3.0B global athletic platform in under 15 years, expanding from footwear into apparel and accessories with 30% reported revenue growth in 2025 (35.6% constant currency) [1]. The DTC channel and retail store expansion represent meaningful business model evolution. AI Deployment (0/2): No evidence of AI-powered products or quantified AI-driven internal efficiencies — the company's innovation is centered on materials science and biomechanical engineering rather than artificial intelligence [2]. Market Share (2/2): On is the fastest-growing major athletic footwear brand globally, gaining significant share in premium running against Nike and Adidas. Q4 gross margin of 63.9% (record) demonstrates pricing power and brand strength that rivals cannot easily replicate [1]. Pipeline (2/2): Clear 2026 guidance of 23%+ constant currency growth to CHF 3.44B+, continued retail store expansion, and apparel category scaling provide strong revenue visibility. The Cyclon subscription shoe and circularity platform add future optionality [1][3]. R&amp;D Intensity (1/1): Significant investment in proprietary CloudTec, Speedboard, and Helion foam technologies with a dedicated innovation lab — above industry average for footwear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On's mission to 'ignite the human spirit through movement' is specific and deeply connected to its product philosophy — every shoe is designed to make running feel like flying. Co-founder Caspar Coppetti has articulated a compelling vision connecting performance with sustainability [3]. Community Impact (1/2): The 'Right to Run' social impact program partners with 17 organizations globally reaching 43,000 community members, and the Cyclon subscription model advances circularity — meaningful but not transformative philanthropy [3]. Employee Retention (1/2): On has grown to 3,963 employees with a founder-led culture that attracts talent from premium fashion and athletic brands. The recent CEO departure (Martin Hoffmann stepping down after one year) creates some organizational uncertainty, though co-founders returning as co-CEOs provides continuity [2]. Insider Buying (1/2): Co-founders Allemann and Coppetti returning as co-CEOs signals personal commitment to long-term value creation, though the leadership transition and concurrent securities investigation create mixed signals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On's financial profile is excellent for a high-growth consumer brand. Revenue of CHF 3.0B grew 30% YoY (35.6% constant currency) with record Q4 gross margin of 63.9% and adjusted EBITDA margin of 18.8% [1]. D/E of 31.9% is conservative, and the CHF 1.0B+ cash position is the strongest in company history. Forward P/E of 16.9x is remarkably reasonable for a company growing 30%+ annually. ROE of 13.5% is slightly below target but improving as the company scales profitability [4]. Revenue growth 5yr CAGR exceeds 35% on a constant-currency basis. The main weakness is trailing profit margin of 6.8% (GAAP), depressed by rapid investment in DTC infrastructure and international expansion [1]. Liquidity floor easily cleared: 6.1M avg vol × $34.02 = $207.5M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On Holding under its co-founders demonstrates genuine infinite game thinking — building a performance brand for the long term with sustainability commitments (Cyclon circularity, 2030 emissions targets) and patient international expansion. The co-founders' return as co-CEOs after Hoffmann's brief tenure reinforces founder commitment, though the leadership instability itself suggests some governance challenges. The company's willingness to guide conservatively while investing for scale shows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On's cause — igniting the human spirit through movement — is genuine and validated by product execution that consistently prioritizes performance innovation over cost-cutting [3]. Co-founder Coppetti's vision of a fossil-free, circular product future adds depth. However, the cause is still relatively young (founded 2010) and hasn't been tested through a severe economic downturn or existential threat. The premium pricing strategy that generates 63.9% gross margins serves both cause and profit simultaneously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 has built a culture that attracts top talent from Nike, Adidas, and luxury fashion brands, growing to nearly 4,000 employees with co-founder-led energy [2]. However, the sudden CEO departure of Martin Hoffmann after just one year, paired with a securities fraud investigation by the Schall Law Firm, raises governance questions that undermine trust signals [2]. The co-founders' return provides cultural continuity but the leadership volatility is a concern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 explicitly acknowledges Nike's distribution scale, Adidas's heritage, and HOKA's cushioning innovation as forces that push On to improve. The company's competitive language focuses on building the best product rather than destroying competitors — co-founder David Allemann regularly frames Nike as a worthy rival whose scale motivates On's innovation [2]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 has evolved from a running-only shoe brand into a multi-category athletic lifestyle platform spanning footwear, apparel, and accessories, with DTC growing rapidly alongside wholesale [1]. The Cyclon subscription model represents a business model experiment — selling shoes as a service rather than a product. This is meaningful adaptation but not yet a transformative reinvention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On's conservative 2026 guidance of 23%+ constant-currency growth (below Street consensus of CHF 3.75B) shows discipline over hype — management chose credibility over stock price in the short term, causing a 14% premarket selloff [1]. The continued investment in DTC infrastructure, retail stores, and circularity during a period of slowing growth demonstrates long-term conviction over quarterly optimization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 Holding is a rare high-growth consumer brand trading at a reasonable valuation — CHF 3.0B revenue growing 30% YoY with record 63.9% Q4 gross margins and CHF 1.0B+ cash on the balance sheet [1]. At 16.9x forward earnings, the market is pricing in growth deceleration, but 2026 guidance of 23%+ constant-currency growth (historically conservative) with 18.5-19% adjusted EBITDA margin targets suggests continued premium execution [1]. The DTC channel, retail expansion, and apparel category scaling provide multiple growth vectors, while the Cyclon circularity platform and materials science innovation create long-term differentiation against Nike and Adidas. D/E of just 31.9% and the strongest cash position in company history provide financial resilience [4].</w:t>
      </w:r>
    </w:p>
    <w:p>
      <w:pPr>
        <w:spacing w:after="120"/>
      </w:pPr>
      <w:r>
        <w:rPr>
          <w:rFonts w:ascii="Calibri" w:hAnsi="Calibri"/>
          <w:b w:val="0"/>
          <w:color w:val="3A4A28"/>
          <w:sz w:val="20"/>
        </w:rPr>
        <w:t>The bear case centers on growth deceleration and governance risk. Revenue growth is slowing from 35.6% constant-currency in 2025 to guided 23%+ in 2026, and GAAP profit margin of 6.8% remains thin for a $11B market cap company [1]. CEO Martin Hoffmann's departure after just one year, coupled with a securities fraud investigation by the Schall Law Firm, raises governance concerns — the stock fell 11.2% on the leadership announcement and is down 25% YTD [2]. Co-founders returning as co-CEOs is unorthodox for a public company and introduces dual-leadership execution risk. ONON trades at 44.8x trailing earnings (despite reasonable forward multiples), leaving limited margin for error. Tariff exposure (20% assumed in guidance) on footwear manufactured in Vietnam and other Asian countries could compress margins if trade policy worsens. Competition from HOKA (Deckers) and Nike's renewed focus on performance running could slow market share gains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CHF 3.44B+ (23%+ constant currency growth) is historically conservative — On has beaten guidance in every year since IPO, suggesting upside to Street consensus of CHF 3.75B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 63%+ in 2026 with adjusted EBITDA margin of 18.5-19% demonstrates the operating leverage that should drive profit growth faster than revenue growth [1]</w:t>
      </w:r>
    </w:p>
    <w:p>
      <w:pPr>
        <w:spacing w:before="40" w:after="40"/>
        <w:ind w:left="283"/>
      </w:pPr>
      <w:r>
        <w:rPr>
          <w:rFonts w:ascii="Calibri" w:hAnsi="Calibri"/>
          <w:b/>
          <w:color w:val="4A6B25"/>
          <w:sz w:val="20"/>
        </w:rPr>
        <w:t xml:space="preserve">3. </w:t>
      </w:r>
      <w:r>
        <w:rPr>
          <w:rFonts w:ascii="Calibri" w:hAnsi="Calibri"/>
          <w:b w:val="0"/>
          <w:color w:val="3A4A28"/>
          <w:sz w:val="20"/>
        </w:rPr>
        <w:t>Retail store expansion and apparel category growth diversifying beyond footwear, with DTC mix increasing and driving higher blended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departure and securities fraud investigation create governance uncertainty — co-founders returning as co-CEOs is unorthodox and introduces dual-leadership execution risk at a critical growth phase [2]</w:t>
      </w:r>
    </w:p>
    <w:p>
      <w:pPr>
        <w:spacing w:before="40" w:after="40"/>
        <w:ind w:left="283"/>
      </w:pPr>
      <w:r>
        <w:rPr>
          <w:rFonts w:ascii="Calibri" w:hAnsi="Calibri"/>
          <w:b/>
          <w:color w:val="4A6B25"/>
          <w:sz w:val="20"/>
        </w:rPr>
        <w:t xml:space="preserve">2. </w:t>
      </w:r>
      <w:r>
        <w:rPr>
          <w:rFonts w:ascii="Calibri" w:hAnsi="Calibri"/>
          <w:b w:val="0"/>
          <w:color w:val="3A4A28"/>
          <w:sz w:val="20"/>
        </w:rPr>
        <w:t>Tariff exposure on Asian-manufactured footwear (20% baseline assumed in guidance) could compress margins if trade policy escalates beyond current levels [1]</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from 35.6% to 23%+ constant currency with trailing P/E of 44.8x leaves limited margin for error — any miss could trigger significant multiple compression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 Holding's core business is designing, marketing, and distributing physical athletic footwear and apparel — AI cannot replace the need for running shoes or the brand cachet that commands 63.9% gross margins [1]. The company's competitive advantages — proprietary CloudTec cushioning technology, materials science innovation, and premium brand positioning — are physical-world moats immune to AI substitution. No analysts have flagged AI as a displacement risk for On's business model. AI could modestly enhance supply chain efficiency and personalized marketing, but the core product is irreplaceable. AI Opportunity (0/1): On does not generate AI-related revenue. The company's innovation focus is on materials science and biomechanics rather than artificial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 Holding Q4 2025 &amp; Full Year Results — CHF 3.0B revenue, 30% growth, 63.9% Q4 gross margin, 2026 guidance, March 3, 2026</w:t>
      </w:r>
    </w:p>
    <w:p>
      <w:pPr>
        <w:spacing w:before="20" w:after="20"/>
        <w:ind w:left="170"/>
      </w:pPr>
      <w:r>
        <w:rPr>
          <w:rFonts w:ascii="Calibri" w:hAnsi="Calibri"/>
          <w:b/>
          <w:color w:val="4A6B25"/>
          <w:sz w:val="15"/>
        </w:rPr>
        <w:t xml:space="preserve">2. </w:t>
      </w:r>
      <w:r>
        <w:rPr>
          <w:rFonts w:ascii="Calibri" w:hAnsi="Calibri"/>
          <w:b w:val="0"/>
          <w:color w:val="3A4A28"/>
          <w:sz w:val="17"/>
        </w:rPr>
        <w:t>CNBC, Seeking Alpha, Business Wire — On Holding CEO departure, co-founder co-CEO transition, Schall Law Firm fraud investigation, March 2026</w:t>
      </w:r>
    </w:p>
    <w:p>
      <w:pPr>
        <w:spacing w:before="20" w:after="20"/>
        <w:ind w:left="170"/>
      </w:pPr>
      <w:r>
        <w:rPr>
          <w:rFonts w:ascii="Calibri" w:hAnsi="Calibri"/>
          <w:b/>
          <w:color w:val="4A6B25"/>
          <w:sz w:val="15"/>
        </w:rPr>
        <w:t xml:space="preserve">3. </w:t>
      </w:r>
      <w:r>
        <w:rPr>
          <w:rFonts w:ascii="Calibri" w:hAnsi="Calibri"/>
          <w:b w:val="0"/>
          <w:color w:val="3A4A28"/>
          <w:sz w:val="17"/>
        </w:rPr>
        <w:t>On Holding Sustainability — Cyclon circularity program, Right to Run social impact, 2030 emissions targets, Impact Progress Reports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ONON,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