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ON</w:t>
      </w:r>
      <w:r>
        <w:rPr>
          <w:rFonts w:ascii="Calibri" w:hAnsi="Calibri"/>
          <w:b/>
          <w:color w:val="1A2010"/>
          <w:sz w:val="40"/>
        </w:rPr>
        <w:t xml:space="preserve">  ON Semiconductor Corporation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2026-03-27 · Inspire: 71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68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Technology · Semiconductors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ON Semiconductor (onsemi) provides intelligent sensing and power solutions for automotive, industrial, and cloud power markets. The company specializes in silicon carbide (SiC) power semiconductors, image sensors, and analog/mixed-signal ICs.</w:t>
      </w:r>
    </w:p>
    <w:p>
      <w:r>
        <w:rPr>
          <w:rFonts w:ascii="Calibri" w:hAnsi="Calibri"/>
          <w:b/>
          <w:color w:val="6E8450"/>
          <w:sz w:val="18"/>
        </w:rPr>
        <w:t>22,600 Employees · https://www.onsemi.com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Onsemi is a market leader in silicon carbide (SiC) power semiconductors for EVs and AI data centers, with AI data center revenue exceeding $250M in 2025 and expected to grow high teens sequentially in Q1 2026 [1]. The Treo Platform launch, 30+ GaN device samples planned for 2026, and first VGaN revenue expected in 2027 demonstrate a robust technology pipeline. The company returned 100% of its record $1.4B free cash flow to shareholders through buybacks, signaling confidence in the business.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Onsemi's mission of 'creating intelligent power and sensing technologies that solve the most challenging customer problems' aligns with megatrends in electrification and AI [1]. CEO Hassane El-Khoury's strategic vision of exiting $300M in non-core revenue in 2026 to focus on high-value applications shows disciplined portfolio management. The 22,600-employee workforce operates in a competitive semiconductor talent market where the company's SiC leadership provides employer brand advantage.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Onsemi's current financials reflect the ongoing cyclical downturn: trailing profit margin of 2.0%, ROE of 1.5%, and revenue declining 11.2% YoY [1]. However, the forward P/E of 15.1x on expected recovery earnings, record $1.4B free cash flow, and D/E of only 42.3% provide a solid foundation. Manufacturing utilization at 68% in Q4 (rising to low-70s in Q1 2026) includes 700bp of underutilization charges that will dissipate with recovery, potentially adding significant margin expansion.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Onsemi demonstrates strategic long-term thinking through its technology roadmap and willingness to exit non-core revenue, but the semiconductor industry's inherent cyclicality and the current downturn phase create tension between long-term positioning and near-term survival pressures.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Enabling the electrification of transportation and the AI revolution through power and sensing solutions represents a purpose with lasting societal impact [1]. Onsemi's focus on energy efficiency (SiC reduces power losses by 50%+ vs. silicon) directly addresses climate change through technology.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FabRite manufacturing consolidation program reduced fab capacity by 12% in 2025, likely creating workforce uncertainty among the 22,600 employees [1]. However, the company's investment in next-gen technology (Treo, GaN) and record free cash flow demonstrate a commitment to the business that can build long-term team confidence.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Onsemi competes with Infineon, STMicroelectronics, and Wolfspeed in SiC, and with Texas Instruments in analog. The strategic decision to exit $300M in non-core revenue shows willingness to focus where it can win rather than competing broadly [1]. The Treo Platform and GaN development represent competitive moves to stay ahead of rivals.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transformation from a legacy semiconductor company to a focused SiC/GaN power and sensing platform under CEO El-Khoury has been dramatic [1]. Exiting $300M in non-core revenue in 2026 and investing in next-gen technology demonstrates strategic flexibility, though the heavy automotive and industrial concentration creates cyclical vulnerability.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$6B share repurchase authorization and return of 100% of free cash flow to shareholders during a downturn demonstrates financial conviction [1]. Investing in 30+ GaN samples and the Treo Platform while managing through cyclical weakness shows willingness to invest counter-cyclically.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Onsemi at 15.1x forward earnings is positioned at the inflection point of a semiconductor recovery, with automotive inventory digestion 'largely behind us,' industrial revenue growing YoY for the first time in eight quarters, and AI data center revenue exceeding $250M and growing high teens sequentially [1]. Record $1.4B free cash flow (24% margin), a new $6B buyback authorization, and plans to exit $300M in non-core revenue demonstrate disciplined capital allocation. Manufacturing underutilization charges of 700bp in Q4 will dissipate as utilization rises from 68% to normalized levels, providing significant margin expansion potential.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cyclical and competitive risks. Trailing P/E of 210x and 2.0% profit margin reflect the depth of the current downturn, and recovery timing remains uncertain despite management optimism [1]. Revenue declined 11.2% in 2025, and Q1 2026 guidance of $1.44-$1.54B suggests gradual rather than sharp recovery. Wolfspeed's distress and Chinese SiC competitors expanding capacity could pressure pricing even as volumes recover. The exit of $300M in non-core revenue creates a headwind that must be offset by growth in focus areas. Automotive EV adoption rates could moderate if consumer incentives are reduced or charging infrastructure investment slows.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AI data center power management revenue growing high teens sequentially in Q1 2026, with 30+ GaN device samples in 2026 expanding the addressable market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Automotive inventory digestion ending after eight quarters of YoY declines positions onsemi for high single-digit content growth per vehicle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Manufacturing utilization recovery from 68% toward normalized 80%+ would remove ~700bp of underutilization charges, potentially expanding gross margins by 500+ basis points in 2H 2026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Chinese SiC competitors (BYD Semiconductor, StarPower) are rapidly expanding capacity and could undercut pricing in the automotive SiC market, compressing onsemi's margins during the recovery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Exit of $300M in non-core revenue in 2026 creates a 5% revenue headwind that must be offset by growth in AI data center and automotive focus areas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EV adoption rate moderation due to reduced consumer incentives, tariffs, or charging infrastructure delays could slow the automotive recovery that drives 50%+ of onsemi's revenue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Onsemi is a direct AI beneficiary through its power management solutions for AI data centers, with revenue in this segment exceeding $250M in 2025 and growing rapidly [1]. SiC and GaN power devices are critical for efficient power delivery and conversion in GPU-dense data center architectures. The company is also well-positioned in AI-enabled automotive applications through ADAS image sensors and EV powertrain components. AI expands onsemi's addressable market across its core verticals.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71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Air Quality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Critical Risk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onsemi Q4/FY2025 Earnings Release and Q1 2026 Guidance, February 9,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Yahoo Finance — ON key statistics, accessed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onsemi Technology Roadmap and Strategic Portfolio Review, 2025-2026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