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OPCH</w:t>
      </w:r>
      <w:r>
        <w:rPr>
          <w:rFonts w:ascii="Calibri" w:hAnsi="Calibri"/>
          <w:b/>
          <w:color w:val="1A2010"/>
          <w:sz w:val="40"/>
        </w:rPr>
        <w:t xml:space="preserve">  Option Care Health, Inc.</w:t>
      </w:r>
    </w:p>
    <w:p>
      <w:pPr>
        <w:spacing w:after="120"/>
      </w:pPr>
      <w:r>
        <w:rPr>
          <w:rFonts w:ascii="Calibri" w:hAnsi="Calibri"/>
          <w:b/>
          <w:color w:val="6E8450"/>
          <w:sz w:val="18"/>
        </w:rPr>
        <w:t>GROWTH SLEEVE · 2026-04-21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Option Care Health is the largest independent home and alternate site infusion services provider in the United States, delivering complex pharmaceutical therapies including immunoglobulin, anti-infective, nutrition support, bleeding disorder, and other specialty infusion treatments through a national network of pharmacies and infusion suites.</w:t>
      </w:r>
    </w:p>
    <w:p>
      <w:r>
        <w:rPr>
          <w:rFonts w:ascii="Calibri" w:hAnsi="Calibri"/>
          <w:b/>
          <w:color w:val="6E8450"/>
          <w:sz w:val="18"/>
        </w:rPr>
        <w:t>6,800 Employees · https://www.optioncarehealth.com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Option Care has grown revenue from ~$3.1B in 2020 to $5.6B in 2025 through organic expansion and site-of-care shift tailwinds, but the business model remains fundamentally the same — home and alternate site infusion services. No transformative pivots or new business lines launched [1]. AI Deployment (1/2): The company selected Palantir's Foundry and AIP platform for enterprise-wide digital transformation to streamline processes, enhance clinical outcomes, and optimize operations — a real AI deployment with a credible partner, though still in early implementation with no quantified savings reported yet [4]. Market Share (2/2): Option Care is the largest independent home and alternate site infusion provider in the U.S., benefiting from the secular shift away from hospital-based infusion as payers push for lower-cost settings. The company has maintained category leadership as the market grows [1][2]. Pipeline (1/2): 2026 guidance projects $5.8-6.0B revenue with expansion into new infusion clinic locations, and the chronic therapy pipeline shows high-single-digit to low-double-digit growth, but specific next-gen products or services with named timelines are limited [1][2]. R&amp;D Intensity (0/1): Infusion services is an operationally intensive rather than R&amp;D-intensive business; the Palantir partnership represents technology investment, but R&amp;D spending as a percentage of revenue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Option Care's purpose centers on bringing infusion therapy to patients where they are most comfortable — home and alternate sites — improving quality of life while reducing healthcare costs. This is a clear, patient-centered mission that connects the business to a meaningful outcome, though not uniquely distinctive [3]. Community Impact (1/2): The company's core service delivery model inherently serves community health by enabling patients to receive complex therapies at home, but specific charitable programs, foundation activities, or community investment beyond the business model were not found in research [5]. Employee Retention (0/2): Glassdoor rating of 3.1/5 for work-life balance and culture indicates below-average employee satisfaction; reviews cite 'poor management and revolving door' and 'senior managers with no training in healthcare,' suggesting retention challenges in operational roles [4]. Insider Buying (0/2): No evidence of meaningful net insider buying by CEO John Rademacher or other executives in the last 12 months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Option Care's financial profile shows strong growth characteristics despite thin margins. D/E of 96.0% is above the 70% target but well below the 300% floor (metric score 0.89) [6]. ROE of 15.2% just clears the 15% target [6]. Revenue growth of 8.8% YoY is slightly below the 10% target (metric score 0.96), while the 5-year revenue CAGR of approximately 17% ($3.1B to $5.6B) far exceeds the target [1]. Forward P/E of 13.5 is well below the 20 target [6]. Profit margin of only 3.67% is the key weakness — reflecting the distribution-intensive nature of specialty pharmacy (metric score 0.18) [6]. PEG ratio of 1.82 scores 0.59 against the 1.0 target. Liquidity floor cleared: 1.75M avg volume × $28.77 = $50.4M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Option Care Health delivers essential healthcare services but operates with a primarily operational and financial orientation. The company's strategic focus on earnings guidance, margin improvement, and share buybacks reflects finite-game thinking. The patient-centered mission is genuine but has not been tested through transformative decisions or multi-decade consistency under Sinek's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Option Care has a genuine cause that is partially lived (2/3 points). Bringing complex infusion therapy to patients in their homes — rather than requiring hospital visits — connects the business to a meaningful healthcare outcome: improving quality of life for chronically ill patients. CEO Rademacher's 8+ year tenure and the company's consistent investment in expanding access to home infusion reflect genuine commitment to this cause. However, it has not been tested through crisis or multi-decade consistency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indicators (0/2 points). Glassdoor reviews consistently cite 'poor management and revolving door,' 'senior managers with no training in healthcare or operations,' and a 3.1/5 culture rating that is below industry average for healthcare companies [4]. The 'revolving door' characterization suggests organizational instability that undermines psychological safety. While some employees cite positive transformation, the preponderance of management criticism indicates trust deficits.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points). Option Care positions itself as the 'largest independent' infusion provider, emphasizing scale advantages over hospital-based competitors and smaller regional players. No evidence in management commentary of acknowledging competitors' strengths or using rivalry as motivation for self-improvement — the language is about market share capture, not learning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The company's evolution from a traditional specialty pharmacy to a home and alternate site infusion platform — including the Palantir AI partnership and expansion into infusion clinic networks — shows incremental adaptation to market shifts. However, the core business model has remained fundamentally the same for decades; the growth is driven by industry tailwinds (site-of-care shift) rather than self-directed reinvention [1][4].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Management's transparent guidance on the STELARA biosimilar headwind ($25-35M gross profit impact) and willingness to absorb near-term margin pressure while investing in clinic expansion and technology (Palantir) shows discipline over short-termism [1][2]. Guiding for 4% revenue growth (well below the 13% achieved in 2025) rather than overpromising demonstrates conservative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Option Care Health is the largest independent home infusion provider in the U.S. with $5.6B in 2025 revenue (up 13%), trading at an attractive 13.5x forward P/E with a $4.5B market cap [1][6]. The company benefits from the secular site-of-care shift as payers increasingly push infusion therapy from hospitals ($300+/hour) to home settings ($100-150/hour), a structural tailwind that has multiple years of runway. The 5-year revenue CAGR of ~17% demonstrates sustained growth execution, while the Palantir AI partnership positions the company to optimize clinical operations and reduce costs [4]. Adjusted EBITDA guidance of $480-505M for 2026 (8.5% margin) and operating cash flow of $340M+ (30%+ above 2025) show improving cash generation despite the low profit margin [1][2].</w:t>
      </w:r>
    </w:p>
    <w:p>
      <w:pPr>
        <w:spacing w:after="120"/>
      </w:pPr>
      <w:r>
        <w:rPr>
          <w:rFonts w:ascii="Calibri" w:hAnsi="Calibri"/>
          <w:b w:val="0"/>
          <w:color w:val="3A4A28"/>
          <w:sz w:val="20"/>
        </w:rPr>
        <w:t>The bear case centers on margin fragility and biosimilar headwinds. Profit margin of only 3.67% leaves almost no room for execution errors — drug pricing pressure, payer reimbursement cuts, or supply chain disruptions could quickly turn profits negative [6]. The STELARA biosimilar conversion creates a ~400-basis-point revenue growth headwind and $25-35M gross profit impact in 2026, illustrating how drug lifecycle dynamics directly threaten Option Care's economics [1][2]. The 2026 revenue guidance of $5.8-6.0B represents a sharp deceleration to ~4% growth from 13% in 2025, raising questions about whether the easy growth from the site-of-care shift is maturing. D/E of 96% is elevated for a thin-margin business, creating balance sheet vulnerability in a downturn. Glassdoor reviews citing management turnover and poor organizational culture (3.1/5) suggest operational fragility that could manifest in clinical quality or customer retention issues [4]. Competition from CVS Health's Coram division and UnitedHealth's Optum infusion services brings scale advantages that could pressure margins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site-of-care shift from hospital to home infusion driven by payer cost pressures and patient preference, expanding Option Care's addressable market by mid-single digits annually [1][2]</w:t>
      </w:r>
    </w:p>
    <w:p>
      <w:pPr>
        <w:spacing w:before="40" w:after="40"/>
        <w:ind w:left="283"/>
      </w:pPr>
      <w:r>
        <w:rPr>
          <w:rFonts w:ascii="Calibri" w:hAnsi="Calibri"/>
          <w:b/>
          <w:color w:val="4A6B25"/>
          <w:sz w:val="20"/>
        </w:rPr>
        <w:t xml:space="preserve">2. </w:t>
      </w:r>
      <w:r>
        <w:rPr>
          <w:rFonts w:ascii="Calibri" w:hAnsi="Calibri"/>
          <w:b w:val="0"/>
          <w:color w:val="3A4A28"/>
          <w:sz w:val="20"/>
        </w:rPr>
        <w:t>Palantir AI platform deployment optimizing clinical operations, pharmacy logistics, and patient scheduling — potential for measurable cost savings as implementation matures in 2026-2027 [4]</w:t>
      </w:r>
    </w:p>
    <w:p>
      <w:pPr>
        <w:spacing w:before="40" w:after="40"/>
        <w:ind w:left="283"/>
      </w:pPr>
      <w:r>
        <w:rPr>
          <w:rFonts w:ascii="Calibri" w:hAnsi="Calibri"/>
          <w:b/>
          <w:color w:val="4A6B25"/>
          <w:sz w:val="20"/>
        </w:rPr>
        <w:t xml:space="preserve">3. </w:t>
      </w:r>
      <w:r>
        <w:rPr>
          <w:rFonts w:ascii="Calibri" w:hAnsi="Calibri"/>
          <w:b w:val="0"/>
          <w:color w:val="3A4A28"/>
          <w:sz w:val="20"/>
        </w:rPr>
        <w:t>Infusion clinic network expansion opening new ambulatory sites that capture patients who cannot receive therapy at home, diversifying the delivery model and increasing geographic reach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STELARA biosimilar conversion creating ~400bps revenue headwind and $25-35M gross profit hit in 2026, with future biosimilar launches in the chronic therapy portfolio posing ongoing margin risk [1][2]</w:t>
      </w:r>
    </w:p>
    <w:p>
      <w:pPr>
        <w:spacing w:before="40" w:after="40"/>
        <w:ind w:left="283"/>
      </w:pPr>
      <w:r>
        <w:rPr>
          <w:rFonts w:ascii="Calibri" w:hAnsi="Calibri"/>
          <w:b/>
          <w:color w:val="4A6B25"/>
          <w:sz w:val="20"/>
        </w:rPr>
        <w:t xml:space="preserve">2. </w:t>
      </w:r>
      <w:r>
        <w:rPr>
          <w:rFonts w:ascii="Calibri" w:hAnsi="Calibri"/>
          <w:b w:val="0"/>
          <w:color w:val="3A4A28"/>
          <w:sz w:val="20"/>
        </w:rPr>
        <w:t>Thin profit margin (3.67%) leaves minimal buffer for drug pricing pressure, payer reimbursement cuts, or operational disruptions — a 1% margin compression would eliminate over 25% of net income [6]</w:t>
      </w:r>
    </w:p>
    <w:p>
      <w:pPr>
        <w:spacing w:before="40" w:after="40"/>
        <w:ind w:left="283"/>
      </w:pPr>
      <w:r>
        <w:rPr>
          <w:rFonts w:ascii="Calibri" w:hAnsi="Calibri"/>
          <w:b/>
          <w:color w:val="4A6B25"/>
          <w:sz w:val="20"/>
        </w:rPr>
        <w:t xml:space="preserve">3. </w:t>
      </w:r>
      <w:r>
        <w:rPr>
          <w:rFonts w:ascii="Calibri" w:hAnsi="Calibri"/>
          <w:b w:val="0"/>
          <w:color w:val="3A4A28"/>
          <w:sz w:val="20"/>
        </w:rPr>
        <w:t>Management and cultural challenges — Glassdoor reviews citing 'revolving door' management and below-average employee satisfaction could impair clinical quality and customer retention in a labor-intensive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 and alternate site infusion services are fundamentally physical-world healthcare delivery — registered nurses travel to patients' homes, mix and administer IV medications, monitor for adverse reactions, and manage complex therapy protocols [1]. AI cannot replace the hands-on clinical work of infusion nursing, the cold-chain pharmacy logistics, or the regulatory compliance (state pharmacy licensing, controlled substance handling) that underpin the business. The site-of-care shift trend (hospital to home) is structurally driven by payer cost pressures, not technology substitution. AI Opportunity (0/1): The Palantir partnership for enterprise-wide digital transformation is in early stages with no quantified revenue contribution or cost savings reported yet — promising but not yet generating measurable AI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Option Care Health Q4 2025 Earnings Release — $5.6B full-year revenue, $471M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'Option Care Health outlines $5.8B-$6B 2026 revenue guidance while expanding infusion clinic network,' February 2026</w:t>
      </w:r>
    </w:p>
    <w:p>
      <w:pPr>
        <w:spacing w:before="20" w:after="20"/>
        <w:ind w:left="170"/>
      </w:pPr>
      <w:r>
        <w:rPr>
          <w:rFonts w:ascii="Calibri" w:hAnsi="Calibri"/>
          <w:b/>
          <w:color w:val="4A6B25"/>
          <w:sz w:val="15"/>
        </w:rPr>
        <w:t xml:space="preserve">3. </w:t>
      </w:r>
      <w:r>
        <w:rPr>
          <w:rFonts w:ascii="Calibri" w:hAnsi="Calibri"/>
          <w:b w:val="0"/>
          <w:color w:val="3A4A28"/>
          <w:sz w:val="17"/>
        </w:rPr>
        <w:t>Option Care Health company website — leadership team, mission, service delivery model,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Option Care Health employee reviews, 3.1/5 culture rating, management concerns,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HHS Office of Inspector General — Option Care Health $719K settlement for referral-based compensation violations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OPCH key statistics: $28.77 price, 13.53 forward P/E, 15.2% ROE, 96% D/E,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