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OPEN</w:t>
      </w:r>
      <w:r>
        <w:rPr>
          <w:rFonts w:ascii="Calibri" w:hAnsi="Calibri"/>
          <w:b/>
          <w:color w:val="1A2010"/>
          <w:sz w:val="40"/>
        </w:rPr>
        <w:t xml:space="preserve">  Opendoor Technologies Inc.</w:t>
      </w:r>
    </w:p>
    <w:p>
      <w:pPr>
        <w:spacing w:after="120"/>
      </w:pPr>
      <w:r>
        <w:rPr>
          <w:rFonts w:ascii="Calibri" w:hAnsi="Calibri"/>
          <w:b/>
          <w:color w:val="6E8450"/>
          <w:sz w:val="18"/>
        </w:rPr>
        <w:t>GROWTH SLEEVE · 2026-05-12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Opendoor Technologies Inc. operates a digital platform for residential real estate transactions in the United States, buying and selling homes through its online e-commerce platform with adjacent services in brokerage, title insurance, settlement, and escrow.</w:t>
      </w:r>
    </w:p>
    <w:p>
      <w:r>
        <w:rPr>
          <w:rFonts w:ascii="Calibri" w:hAnsi="Calibri"/>
          <w:b/>
          <w:color w:val="6E8450"/>
          <w:sz w:val="18"/>
        </w:rPr>
        <w:t>1,042 Employees · https://www.opendoor.com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Opendoor pioneered the iBuying model but has struggled to prove unit economics — Q1 2026 revenue fell 37.6% YoY to $720M, and the FTC's $62M penalty for misleading sellers about pricing advantages undermined the core value proposition [1][3]. AI Deployment (1/2): New CEO Kaz Nejatian (ex-Shopify COO) is repositioning AI at the center of pricing and workflow, but no specific AI-driven revenue or quantified savings have been reported yet [4]. Market Share Leadership (1/2): Opendoor remains the largest iBuyer by volume but market share has contracted significantly from 2022 peaks as acquisition contracts only recently doubled to 5,000 — the highest since 2022 [1]. Product Pipeline (1/2): Management targets adjusted EBITDA profitability on a forward 12-month basis as of April 2026, with contribution margins improving to 4.4% in Q1, but no specific next-gen products announced [1]. R&amp;D Intensity (0/1): No evidence of above-industry R&amp;D spending; the company has been cutting costs and headcount rather than investing in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Opendoor's mission to 'make it simple to buy, sell, and move' is clear but not distinctive — it describes a functional benefit interchangeable with any proptech company and lacks a deeper purpose beyond operational convenience [5]. Community &amp; Charitable Impact (0/2): No evidence of significant charitable programs or community investment found in research. Employee Retention (0/2): The company has undergone significant leadership turnover — CEO change from Carrie Wheeler to Kaz Nejatian under activist investor pressure — and headcount reductions from 3,000+ to 1,042, indicating organizational instability [4]. Insider Buying (1/2): Co-founders Keith Rabois and Eric Wu rejoined the board alongside the CEO transition, signaling renewed insider conviction, though no specific dollar amounts of insider purchasing were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Opendoor's financial infrastructure is deeply distressed — ROE is -174%, profit margin is -35.2%, and revenue declined 37.6% YoY to $720M in Q1 2026 [1][6]. D/E of 140% reflects heavy debt against a shrinking revenue base. The one positive is improving contribution margins (4.4% in Q1, up 340bps QoQ) and a path toward adjusted EBITDA breakeven, but the company remains far from GAAP profitability with a $173M Q1 net loss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Opendoor exhibits mixed infinite game signals — the original vision of simplifying real estate transactions has been compromised by financial pressures, leadership instability, and regulatory penalties. The CEO transition and activist investor involvement suggest a company optimizing for near-term survival rather than long-term purpose. The new leadership team may restore strategic coherence, but the company is currently in turnaround mode.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Opendoor's purpose of simplifying home transactions exists but reads as a marketing pitch rather than a deep cause — the company's strategic decisions have been driven more by investor pressure and market conditions than by a consistent vision. The FTC penalty for misleading sellers contradicts any mission of empowering homeowners [3][5].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experienced massive organizational upheaval — CEO replacement under activist pressure, headcount reduction from 3,000+ to 1,042, and Glassdoor reviews indicating that under new leadership 'culture went from bad to worse' with 'most coworkers either trying to leave or already left' [4]. This is a low-trust environment by any measure.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Management acknowledges the competitive landscape including traditional brokerages, Zillow's platform, and other proptech companies without adversarial framing. The focus on operational improvement over competitor destruction suggests a growth-oriented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CEO transition from Carrie Wheeler to Kaz Nejatian represents an incremental strategic shift — bringing in a tech-native leader to reposition the business around AI and operational efficiency rather than pure volume growth. This shows willingness to evolve the model, though it was driven by external pressure rather than proactive strategic vision [4].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leadership decisions. The company's recent history is characterized by reactive decision-making — cost-cutting under financial pressure, CEO changes driven by activist investors, and strategic shifts forced by market conditions rather than principled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Opendoor is attempting a turnaround under new CEO Kaz Nejatian, an AI-native executive from Shopify, who is repositioning the iBuying platform around AI-powered pricing and operational efficiency. Q1 2026 contribution margins improved to 4.4% (up 340bps QoQ), acquisition contracts doubled to 5,000, and homes over 120 days on market fell from 33% to 10%, signaling improving unit economics [1].</w:t>
      </w:r>
    </w:p>
    <w:p>
      <w:pPr>
        <w:spacing w:after="120"/>
      </w:pPr>
      <w:r>
        <w:rPr>
          <w:rFonts w:ascii="Calibri" w:hAnsi="Calibri"/>
          <w:b w:val="0"/>
          <w:color w:val="3A4A28"/>
          <w:sz w:val="20"/>
        </w:rPr>
        <w:t>However, the company faces severe headwinds — Q1 revenue declined 37.6% YoY to $720M, the net loss was $173M, ROE stands at -174%, and the business carries $1.34B in debt [1][6]. The FTC's $62M penalty and $39M securities fraud settlement for misleading claims about AI-powered pricing have damaged credibility [3]. At $4.7B market cap, the stock prices in a successful turnaround that remains unproven, making this a high-risk speculation rather than a sound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Kaz Nejatian's AI-native background could unlock genuine operational efficiencies in pricing and workflow automation</w:t>
      </w:r>
    </w:p>
    <w:p>
      <w:pPr>
        <w:spacing w:before="40" w:after="40"/>
        <w:ind w:left="283"/>
      </w:pPr>
      <w:r>
        <w:rPr>
          <w:rFonts w:ascii="Calibri" w:hAnsi="Calibri"/>
          <w:b/>
          <w:color w:val="4A6B25"/>
          <w:sz w:val="20"/>
        </w:rPr>
        <w:t xml:space="preserve">2. </w:t>
      </w:r>
      <w:r>
        <w:rPr>
          <w:rFonts w:ascii="Calibri" w:hAnsi="Calibri"/>
          <w:b w:val="0"/>
          <w:color w:val="3A4A28"/>
          <w:sz w:val="20"/>
        </w:rPr>
        <w:t>Acquisition contracts doubling to 5,000 in Q1 suggest the housing market recovery is beginning to translate into volume growth</w:t>
      </w:r>
    </w:p>
    <w:p>
      <w:pPr>
        <w:spacing w:before="40" w:after="40"/>
        <w:ind w:left="283"/>
      </w:pPr>
      <w:r>
        <w:rPr>
          <w:rFonts w:ascii="Calibri" w:hAnsi="Calibri"/>
          <w:b/>
          <w:color w:val="4A6B25"/>
          <w:sz w:val="20"/>
        </w:rPr>
        <w:t xml:space="preserve">3. </w:t>
      </w:r>
      <w:r>
        <w:rPr>
          <w:rFonts w:ascii="Calibri" w:hAnsi="Calibri"/>
          <w:b w:val="0"/>
          <w:color w:val="3A4A28"/>
          <w:sz w:val="20"/>
        </w:rPr>
        <w:t>Management targeting adjusted net income breakeven on a forward 12-month basis by year-end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37.6% YoY with persistent GAAP losses of $173M in Q1, and the path to profitability depends on housing market conditions outside management's control</w:t>
      </w:r>
    </w:p>
    <w:p>
      <w:pPr>
        <w:spacing w:before="40" w:after="40"/>
        <w:ind w:left="283"/>
      </w:pPr>
      <w:r>
        <w:rPr>
          <w:rFonts w:ascii="Calibri" w:hAnsi="Calibri"/>
          <w:b/>
          <w:color w:val="4A6B25"/>
          <w:sz w:val="20"/>
        </w:rPr>
        <w:t xml:space="preserve">2. </w:t>
      </w:r>
      <w:r>
        <w:rPr>
          <w:rFonts w:ascii="Calibri" w:hAnsi="Calibri"/>
          <w:b w:val="0"/>
          <w:color w:val="3A4A28"/>
          <w:sz w:val="20"/>
        </w:rPr>
        <w:t>FTC's $62M consumer deception penalty and $39M securities fraud settlement for misleading AI pricing claims create lasting reputational and legal risk</w:t>
      </w:r>
    </w:p>
    <w:p>
      <w:pPr>
        <w:spacing w:before="40" w:after="40"/>
        <w:ind w:left="283"/>
      </w:pPr>
      <w:r>
        <w:rPr>
          <w:rFonts w:ascii="Calibri" w:hAnsi="Calibri"/>
          <w:b/>
          <w:color w:val="4A6B25"/>
          <w:sz w:val="20"/>
        </w:rPr>
        <w:t xml:space="preserve">3. </w:t>
      </w:r>
      <w:r>
        <w:rPr>
          <w:rFonts w:ascii="Calibri" w:hAnsi="Calibri"/>
          <w:b w:val="0"/>
          <w:color w:val="3A4A28"/>
          <w:sz w:val="20"/>
        </w:rPr>
        <w:t>D/E of 140% and $1.34B in debt against a capital-intensive business model creates significant balance sheet risk in a rising rate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Opendoor's core iBuying model faces meaningful AI exposure — AI-powered pricing tools and real estate platforms from competitors could replicate Opendoor's algorithmic pricing without requiring capital-intensive home inventory. The FTC penalty and $39M securities settlement specifically cited misleading claims about 'AI-powered' pricing accuracy, demonstrating vulnerability in the company's tech differentiation narrative [3]. However, the physical transaction component (buying, renovating, and selling homes) provides some protection against pure software disruption. AI Opportunity (1/1): The new CEO is an AI-native executive repositioning AI at the center of pricing, workflow automation, and operational efficiency, representing genuine AI revenue potential as the platform matures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Opendoor Technologies Q1 2026 Earnings Release and Open House Update, May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Opendoor Q2 Revenue Growth Guidance, May 2026</w:t>
      </w:r>
    </w:p>
    <w:p>
      <w:pPr>
        <w:spacing w:before="20" w:after="20"/>
        <w:ind w:left="170"/>
      </w:pPr>
      <w:r>
        <w:rPr>
          <w:rFonts w:ascii="Calibri" w:hAnsi="Calibri"/>
          <w:b/>
          <w:color w:val="4A6B25"/>
          <w:sz w:val="15"/>
        </w:rPr>
        <w:t xml:space="preserve">3. </w:t>
      </w:r>
      <w:r>
        <w:rPr>
          <w:rFonts w:ascii="Calibri" w:hAnsi="Calibri"/>
          <w:b w:val="0"/>
          <w:color w:val="3A4A28"/>
          <w:sz w:val="17"/>
        </w:rPr>
        <w:t>FTC Press Release — Opendoor Labs $62M Settlement, August 2022; Securities Settlement $39M Final Approval, 2025</w:t>
      </w:r>
    </w:p>
    <w:p>
      <w:pPr>
        <w:spacing w:before="20" w:after="20"/>
        <w:ind w:left="170"/>
      </w:pPr>
      <w:r>
        <w:rPr>
          <w:rFonts w:ascii="Calibri" w:hAnsi="Calibri"/>
          <w:b/>
          <w:color w:val="4A6B25"/>
          <w:sz w:val="15"/>
        </w:rPr>
        <w:t xml:space="preserve">4. </w:t>
      </w:r>
      <w:r>
        <w:rPr>
          <w:rFonts w:ascii="Calibri" w:hAnsi="Calibri"/>
          <w:b w:val="0"/>
          <w:color w:val="3A4A28"/>
          <w:sz w:val="17"/>
        </w:rPr>
        <w:t>Opendoor CEO Transition — Kaz Nejatian Appointment, Real Estate News, September 2025</w:t>
      </w:r>
    </w:p>
    <w:p>
      <w:pPr>
        <w:spacing w:before="20" w:after="20"/>
        <w:ind w:left="170"/>
      </w:pPr>
      <w:r>
        <w:rPr>
          <w:rFonts w:ascii="Calibri" w:hAnsi="Calibri"/>
          <w:b/>
          <w:color w:val="4A6B25"/>
          <w:sz w:val="15"/>
        </w:rPr>
        <w:t xml:space="preserve">5. </w:t>
      </w:r>
      <w:r>
        <w:rPr>
          <w:rFonts w:ascii="Calibri" w:hAnsi="Calibri"/>
          <w:b w:val="0"/>
          <w:color w:val="3A4A28"/>
          <w:sz w:val="17"/>
        </w:rPr>
        <w:t>Opendoor Corporate Website — About and Mission, accessed May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OPEN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