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OPK</w:t>
      </w:r>
      <w:r>
        <w:rPr>
          <w:rFonts w:ascii="Calibri" w:hAnsi="Calibri"/>
          <w:b/>
          <w:color w:val="1A2010"/>
          <w:sz w:val="40"/>
        </w:rPr>
        <w:t xml:space="preserve">  OPKO Health, Inc.</w:t>
      </w:r>
    </w:p>
    <w:p>
      <w:pPr>
        <w:spacing w:after="120"/>
      </w:pPr>
      <w:r>
        <w:rPr>
          <w:rFonts w:ascii="Calibri" w:hAnsi="Calibri"/>
          <w:b/>
          <w:color w:val="6E8450"/>
          <w:sz w:val="18"/>
        </w:rPr>
        <w:t>GROWTH SLEEVE · 2026-04-10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OPKO Health is a diversified healthcare company operating in two segments: Diagnostics (BioReference Laboratories — genetic testing, molecular diagnostics, anatomical pathology, women's health) and Pharmaceuticals (multispecific antibody oncology pipeline via ModeX, NGENLA growth hormone with Pfizer, Rayaldee for vitamin D insufficiency). The company also has collaborations with Regeneron and Merck on immunotherapy and vaccine programs.</w:t>
      </w:r>
    </w:p>
    <w:p>
      <w:r>
        <w:rPr>
          <w:rFonts w:ascii="Calibri" w:hAnsi="Calibri"/>
          <w:b/>
          <w:color w:val="6E8450"/>
          <w:sz w:val="18"/>
        </w:rPr>
        <w:t>2,275 Employees · https://www.opko.com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has declined from $1.0B (2022) to $607M (2025), a 40% erosion driven by BioReference diagnostics volume losses post-COVID and the divestiture of non-core assets [1][2]. The $300M ModeX acquisition in 2022 added a multispecific antibody platform but has not generated meaningful revenue. NGENLA (partnership with Pfizer) provides some pharmaceutical revenue but not enough to offset diagnostic declines. AI Deployment (0/2): No evidence of AI-powered diagnostics, drug discovery tools, or AI-generated revenue; the company relies on traditional lab-based diagnostics and conventional drug development approaches [3]. Market Share (0/2): BioReference Laboratories is losing share in a competitive diagnostics market to Quest, Labcorp, and specialty lab competitors; pharmaceutical products lack meaningful market position with early-stage pipeline only [1]. Pipeline (1/2): The Regeneron collaboration for multispecific antibodies has potential milestones exceeding $200M per program and overall value above $1B; MDX2003 entered Phase 1 in Australia; Merck completed Phase 1 for EBV vaccine [2]. However, all programs are early-stage with high failure risk. R&amp;D Intensity (1/1): R&amp;D spending of $124M on $607M revenue (20.4%) is above healthcare industry average, reflecting the strategic pivot toward pharmaceutical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OPKO's corporate purpose is not clearly articulated beyond being a 'diversified healthcare company' — the conglomerate structure spanning diagnostics, pharmaceuticals, and international operations lacks a unifying mission that inspires beyond generic health improvement [3]. Community Impact (1/2): BioReference provides diagnostic services including genetic testing and women's health, serving patient populations in need; the pharmaceutical pipeline targets oncology and rare diseases with potential social impact if successful [2]. Employee Retention (0/2): Glassdoor reviews cite high staff turnover and describe CEO Dr. Phillip Frost's leadership as 'too old-school,' with criticism that 'so many products on the pipeline but none got materialized' — this reflects organizational disillusionment [3]. Insider Buying (1/2): The company has repurchased $87.3M in shares since July 2024 authorization with $112.7M remaining, signaling management conviction at depressed prices [2]. However, this is corporate buyback activity,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OPKO's financial profile is deeply distressed. Revenue declined 15% YoY to $607M in 2025 with a full-year net loss of -$225.7M, and 2026 guidance of $530-$560M implies further 10% decline [1][2]. The 3yr revenue CAGR of -15.4% (from $1.0B to $607M) scores at floor. Profit margin of -37.2% and ROE of -17.1% reflect chronic unprofitability — the company has posted net losses in three of the last four years [1]. Forward P/E of -3.5 is meaningless for a loss-making company. The sole positive metric is D/E of 31.3% ($397M debt against $1.27B equity, with $369M cash providing liquidity) [2]. Guided 2026 operating loss of ~$192.5M (64% wider than 2025) due to elevated R&amp;D spending indicates profitability is years away. Liquidity floor barely cleared at $3.2M daily dollar volume (2.76M avg vol × $1.17)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OPKO Health operates with a finite mindset — the company has been run by 89-year-old CEO Dr. Phillip Frost since 2007 as a diversified healthcare conglomerate without a clear unifying purpose, posting chronic losses while spreading resources across diagnostics, pharmaceuticals, and international operations. Strategic decisions appear driven by optionality-hoarding rather than advancing a coherent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OPKO lacks a discernible just cause. The company functions as a healthcare holding company spanning diagnostics, pharmaceuticals, vaccines, and specialty APIs across multiple countries — but there is no articulated vision of a better future that unifies these activities [3]. The conglomerate structure and chronic losses suggest a company optimizing for optionality rather than advancing a cause. Sinek would characterize this as a finite player collecting assets.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high staff turnover and CEO leadership as 'too old-school,' with employees noting that 'so many products on the pipeline but none got materialized' [3]. This frustration with unfulfilled potential suggests a low-trust environment where employees question whether their work will lead to meaningful outcomes. The 2,275-person workforce across multiple geographies and business lines creates coordination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OPKO management acknowledging worthy rivals or using competitive pressure constructively. The company does not publicly discuss how Quest Diagnostics, Labcorp, or pharmaceutical competitors inform its strategy. The conglomerate approach suggests a desire to compete across multiple fronts rather than learning from focused competitors' strengths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$300M ModeX acquisition in 2022 and strategic pivot toward multispecific antibody oncology programs (MDX2001, MDX2003, MDX2004) represents a meaningful evolution from a diagnostics-heavy company to a pharmaceutical R&amp;D platform [2]. The Regeneron collaboration further validates this pivot. However, the company has not abandoned its declining diagnostics business, choosing to straddle both rather than commit fully.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OPKO has guided for a 64% wider operating loss in 2026 ($192.5M vs. $117.4M) driven by elevated R&amp;D spending — this could be interpreted as courage to invest through adversity [2]. However, the company has posted chronic losses for years without making the difficult decision to divest underperforming diagnostics assets or dramatically restructure. The $87.3M buyback program at depressed prices is more financial engineering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OPKO Health's investment case rests on its pharmaceutical pipeline and the Regeneron collaboration, which carries potential milestone payments exceeding $200M per program and overall value above $1B if multiple products succeed [2]. The $300M ModeX acquisition brought a proprietary multispecific antibody platform with three programs in or entering Phase 1 trials (MDX2001, MDX2003, MDX2004). At $1.17 per share ($898M market cap), the stock trades at a deep discount to $369M cash on hand plus the option value of the pipeline. The $87.3M share buyback program signals management conviction, and the clean balance sheet (D/E 31%) provides runway to fund R&amp;D through clinical milestones [2].</w:t>
      </w:r>
    </w:p>
    <w:p>
      <w:pPr>
        <w:spacing w:after="120"/>
      </w:pPr>
      <w:r>
        <w:rPr>
          <w:rFonts w:ascii="Calibri" w:hAnsi="Calibri"/>
          <w:b w:val="0"/>
          <w:color w:val="3A4A28"/>
          <w:sz w:val="20"/>
        </w:rPr>
        <w:t>The bear case is overwhelming. Revenue has collapsed 40% from $1.0B to $607M over three years with 2026 guided to $530-$560M — further 10% decline — while operating losses are widening 64% to ~$192.5M [1][2]. BioReference diagnostics is in secular decline post-COVID with no clear competitive differentiation against Quest and Labcorp. The pharmaceutical pipeline is entirely early-stage (Phase 1) with 90%+ clinical failure rates and years-long timelines to potential revenue. CEO Dr. Phillip Frost (age 89) has led the company since 2007 through chronic losses and settled SEC fraud charges in 2018 (paying $5.5M), creating governance and succession risk [3]. Glassdoor reviews cite high turnover and an 'old-school' management style, while Sustainalytics rates ESG management as 'Weak' with the highest controversy level [4]. The $1.17 stock price and sub-$1B market cap reflect penny-stock-level speculation, not investment-grade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Regeneron collaboration milestone payments potentially exceeding $200M per program, with overall value above $1B across multiple multispecific antibody candidates [2]</w:t>
      </w:r>
    </w:p>
    <w:p>
      <w:pPr>
        <w:spacing w:before="40" w:after="40"/>
        <w:ind w:left="283"/>
      </w:pPr>
      <w:r>
        <w:rPr>
          <w:rFonts w:ascii="Calibri" w:hAnsi="Calibri"/>
          <w:b/>
          <w:color w:val="4A6B25"/>
          <w:sz w:val="20"/>
        </w:rPr>
        <w:t xml:space="preserve">2. </w:t>
      </w:r>
      <w:r>
        <w:rPr>
          <w:rFonts w:ascii="Calibri" w:hAnsi="Calibri"/>
          <w:b w:val="0"/>
          <w:color w:val="3A4A28"/>
          <w:sz w:val="20"/>
        </w:rPr>
        <w:t>MDX2003 Phase 1 trial data readout in Australia and MDX2001 continued Phase 1 enrollment for solid tumors, with potential partnership or licensing opportunities [2]</w:t>
      </w:r>
    </w:p>
    <w:p>
      <w:pPr>
        <w:spacing w:before="40" w:after="40"/>
        <w:ind w:left="283"/>
      </w:pPr>
      <w:r>
        <w:rPr>
          <w:rFonts w:ascii="Calibri" w:hAnsi="Calibri"/>
          <w:b/>
          <w:color w:val="4A6B25"/>
          <w:sz w:val="20"/>
        </w:rPr>
        <w:t xml:space="preserve">3. </w:t>
      </w:r>
      <w:r>
        <w:rPr>
          <w:rFonts w:ascii="Calibri" w:hAnsi="Calibri"/>
          <w:b w:val="0"/>
          <w:color w:val="3A4A28"/>
          <w:sz w:val="20"/>
        </w:rPr>
        <w:t>Merck EBV vaccine program advancing from completed Phase 1 (200+ adults) toward potential Phase 2, representing a large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acceleration — 2026 guidance of $530-$560M implies 10% further decline with operating losses widening 64% to ~$192.5M, consuming cash reserves [2]</w:t>
      </w:r>
    </w:p>
    <w:p>
      <w:pPr>
        <w:spacing w:before="40" w:after="40"/>
        <w:ind w:left="283"/>
      </w:pPr>
      <w:r>
        <w:rPr>
          <w:rFonts w:ascii="Calibri" w:hAnsi="Calibri"/>
          <w:b/>
          <w:color w:val="4A6B25"/>
          <w:sz w:val="20"/>
        </w:rPr>
        <w:t xml:space="preserve">2. </w:t>
      </w:r>
      <w:r>
        <w:rPr>
          <w:rFonts w:ascii="Calibri" w:hAnsi="Calibri"/>
          <w:b w:val="0"/>
          <w:color w:val="3A4A28"/>
          <w:sz w:val="20"/>
        </w:rPr>
        <w:t>CEO succession and governance risk — Dr. Phillip Frost (age 89, CEO since 2007) settled SEC fraud charges in 2018; no clear succession plan for the company's most important strategic decision-maker [3]</w:t>
      </w:r>
    </w:p>
    <w:p>
      <w:pPr>
        <w:spacing w:before="40" w:after="40"/>
        <w:ind w:left="283"/>
      </w:pPr>
      <w:r>
        <w:rPr>
          <w:rFonts w:ascii="Calibri" w:hAnsi="Calibri"/>
          <w:b/>
          <w:color w:val="4A6B25"/>
          <w:sz w:val="20"/>
        </w:rPr>
        <w:t xml:space="preserve">3. </w:t>
      </w:r>
      <w:r>
        <w:rPr>
          <w:rFonts w:ascii="Calibri" w:hAnsi="Calibri"/>
          <w:b w:val="0"/>
          <w:color w:val="3A4A28"/>
          <w:sz w:val="20"/>
        </w:rPr>
        <w:t>Early-stage pharmaceutical pipeline — all drug candidates are in Phase 1 or preclinical with 90%+ failure rates; BioReference diagnostics decline provides no revenue floor to fund multi-year R&amp;D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OPKO's diagnostics business (BioReference) involves physical specimen collection, lab processing, and regulated clinical testing that requires CLIA-certified laboratories — AI cannot replace the physical workflow of blood draws, tissue processing, and lab-based analysis [3]. However, AI is increasingly threatening the diagnostic interpretation layer, with AI-powered pathology tools from companies like Paige and PathAI improving accuracy and efficiency in anatomical pathology, one of BioReference's service lines. The pharmaceutical segment is largely immune to AI disruption — clinical trials, FDA regulatory processes, and drug manufacturing require physical-world operations. AI Opportunity (0/1): No evidence of AI-generated revenue or AI-powered diagnostic products. BioReference uses traditional laboratory methods, and the pharmaceutical pipeline relies on conventional antibody engineering rather than AI-driven drug discovery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OPK (OPKO Health), retrieved April 10, 2026</w:t>
      </w:r>
    </w:p>
    <w:p>
      <w:pPr>
        <w:spacing w:before="20" w:after="20"/>
        <w:ind w:left="170"/>
      </w:pPr>
      <w:r>
        <w:rPr>
          <w:rFonts w:ascii="Calibri" w:hAnsi="Calibri"/>
          <w:b/>
          <w:color w:val="4A6B25"/>
          <w:sz w:val="15"/>
        </w:rPr>
        <w:t xml:space="preserve">2. </w:t>
      </w:r>
      <w:r>
        <w:rPr>
          <w:rFonts w:ascii="Calibri" w:hAnsi="Calibri"/>
          <w:b w:val="0"/>
          <w:color w:val="3A4A28"/>
          <w:sz w:val="17"/>
        </w:rPr>
        <w:t>OPKO Health Q4 2025 Earnings Release &amp; 2026 Guidance — $607M full-year revenue, -$225.7M net loss, $369M cash, Regeneron collaboration,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 Wikipedia / Simply Wall St — OPKO Health leadership, culture, CEO background, and governance concerns</w:t>
      </w:r>
    </w:p>
    <w:p>
      <w:pPr>
        <w:spacing w:before="20" w:after="20"/>
        <w:ind w:left="170"/>
      </w:pPr>
      <w:r>
        <w:rPr>
          <w:rFonts w:ascii="Calibri" w:hAnsi="Calibri"/>
          <w:b/>
          <w:color w:val="4A6B25"/>
          <w:sz w:val="15"/>
        </w:rPr>
        <w:t xml:space="preserve">4. </w:t>
      </w:r>
      <w:r>
        <w:rPr>
          <w:rFonts w:ascii="Calibri" w:hAnsi="Calibri"/>
          <w:b w:val="0"/>
          <w:color w:val="3A4A28"/>
          <w:sz w:val="17"/>
        </w:rPr>
        <w:t>Sustainalytics — OPKO Health ESG Risk Rating: Weak management, highest controversy level</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