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ORBS</w:t>
      </w:r>
      <w:r>
        <w:rPr>
          <w:rFonts w:ascii="Calibri" w:hAnsi="Calibri"/>
          <w:b/>
          <w:color w:val="1A2010"/>
          <w:sz w:val="40"/>
        </w:rPr>
        <w:t xml:space="preserve">  Eightco Holdings Inc.</w:t>
      </w:r>
    </w:p>
    <w:p>
      <w:pPr>
        <w:spacing w:after="120"/>
      </w:pPr>
      <w:r>
        <w:rPr>
          <w:rFonts w:ascii="Calibri" w:hAnsi="Calibri"/>
          <w:b/>
          <w:color w:val="6E8450"/>
          <w:sz w:val="18"/>
        </w:rPr>
        <w:t>GROWTH SLEEVE · 2026-03-24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Goods · Inventory Management / Digital Identity · NASDAQ · United States</w:t>
      </w:r>
    </w:p>
    <w:p>
      <w:pPr>
        <w:spacing w:after="80"/>
      </w:pPr>
      <w:r>
        <w:rPr>
          <w:rFonts w:ascii="Calibri" w:hAnsi="Calibri"/>
          <w:b w:val="0"/>
          <w:color w:val="3A4A28"/>
          <w:sz w:val="20"/>
        </w:rPr>
        <w:t>Eightco Holdings operates in two segments: inventory management solutions and corrugated custom packaging for North American and European markets. The company is pivoting toward digital identity and Proof of Human (PoH) verification services as an authentication layer for AI-driven environments, with its FOTAP beta testing platform scheduled for April 2026. Formerly known as Cryptyde, Inc., the company carries an extreme share dilution profile — shares outstanding increased 883% in one year.</w:t>
      </w:r>
    </w:p>
    <w:p>
      <w:r>
        <w:rPr>
          <w:rFonts w:ascii="Calibri" w:hAnsi="Calibri"/>
          <w:b/>
          <w:color w:val="6E8450"/>
          <w:sz w:val="18"/>
        </w:rPr>
        <w:t>23 Employees · https://www.8co.holdings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Eightco scores poorly on innovation at this stage. Track record (0/3): the company's core packaging and inventory management business represents no meaningful innovation; the pivot to digital identity is nascent and unproven [1]. AI deployment (1/2): the FOTAP platform targets AI-driven vendor trust verification, which is a genuinely forward-looking application, but it is pre-revenue and in beta testing as of April 2026 [1]. Market share (0/2): with $43M in revenue split between commodity packaging and early-stage digital identity, QUBT has no category leadership [1]. Pipeline (1/2): the FOTAP beta and quarterly vendor trust score publication planned for Q4 2026 represent a defined product roadmap [1]. R&amp;D intensity (0/1): 23 employees across two very different business lines suggests limited R&amp;D investment depth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pivot to 'building the authentication and trust layer for a post-AGI world' is a distinctive and potentially important mission, but it is entirely unvalidated by execution — the company's core business remains commodity packaging [1]. Community impact (0/2): no evidence of charitable programs at this scale (23 employees) [1]. Employee retention (1/2): the 23-person team implies high individual commitment, but the 883% share dilution in one year suggests significant uncertainty about corporate direction [1]. Insider buying (0/2): no insider buying data cited; the dilution pattern suggests capital pressure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ORBS fails the liquidity floor: stock price of $1.00 × approximately 500,000 avg daily volume = approximately $500,000 — BELOW the $1,000,000 liquidity threshold. Infrastructure score = 0. For reference, even without the liquidity floor, the metrics are weak: ROE of -18.34% (floor = 0, score = 0), profit margin varies by source (some show 1.8%, others show losses) but operating margin is -20.7% (floor, score = 0), share count increased 883% in one year creating extreme dilution, D/E of 3% is excellent but this is insufficient to offset the other weaknesses. The company's financial picture is distorted by the extreme share issuance.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Eightco's corporate history — rebrand from Cryptyde in 2023, pivot from crypto to packaging, now pivot to AI identity — reflects a company searching for a viable business model rather than executing a consistent Just Cause. The 883% share dilution and the all-time high of $4,537 (now at $1.00) tell the story of a company that has been more focused on capital raises than on building enduring value.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'authentication and trust layer for a post-AGI world' mission is genuinely aspirational, but Eightco has rebranded and repivoted multiple times in recent years with no sustained execution track record. A Just Cause requires decades of consistent execution to be credible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23 employees and three business pivots in three years (crypto, packaging, AI identity), organizational stability and psychological safety are nearly impossible to assess or establish. The 883% share dilution in one year suggests financial distress rather than strategic conviction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Eightco's pivot to digital identity puts it in competition with established players (Worldcoin, digital identity verification firms), but there is no evidence of a rivals-as-teachers posture — the company appears to be reactive to market opportunities rather than strategically positioning against worthy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multiple business pivots (Cryptyde → packaging → AI identity) represent existential flexibility in the technical sense, but lack evidence of a Just Cause driving the transformation. These appear to be opportunistic pivots rather than mission-driven reinventions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883% share dilution — the most extreme in this entire batch — reflects financial necessity rather than courageous long-term investment. Companies that issue 9x their outstanding shares in one year are in survival mode, not playing to endure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speculative bull case for Eightco is the FOTAP platform: if digital human verification becomes a mandatory layer in AI-saturated digital environments (financial services, gaming, e-commerce), Eightco's first-mover position could create substantial value. The company's $23M cash position against minimal debt provides short-term financial stability, and the FOTAP beta launch in April 2026 is a near-term catalyst [1].</w:t>
      </w:r>
    </w:p>
    <w:p>
      <w:pPr>
        <w:spacing w:after="120"/>
      </w:pPr>
      <w:r>
        <w:rPr>
          <w:rFonts w:ascii="Calibri" w:hAnsi="Calibri"/>
          <w:b w:val="0"/>
          <w:color w:val="3A4A28"/>
          <w:sz w:val="20"/>
        </w:rPr>
        <w:t>The bear case is dominant: the stock fails IOWN's basic liquidity threshold (avg_daily_volume × price &lt; $1M), the company has diluted shareholders by 883% in one year, the all-time stock high was $4,537 versus the current $1.00 — a 99.98% decline — and the company has never demonstrated sustained profitability. The FOTAP platform is pre-revenue with no paying customers cited. With 23 employees, executing a digital identity platform at global scale while also running a packaging business is operationally implausible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FOTAP platform launch in April 2026 with documented paying enterprise customers would validate the AI identity thesis</w:t>
      </w:r>
    </w:p>
    <w:p>
      <w:pPr>
        <w:spacing w:before="40" w:after="40"/>
        <w:ind w:left="283"/>
      </w:pPr>
      <w:r>
        <w:rPr>
          <w:rFonts w:ascii="Calibri" w:hAnsi="Calibri"/>
          <w:b/>
          <w:color w:val="4A6B25"/>
          <w:sz w:val="20"/>
        </w:rPr>
        <w:t xml:space="preserve">2. </w:t>
      </w:r>
      <w:r>
        <w:rPr>
          <w:rFonts w:ascii="Calibri" w:hAnsi="Calibri"/>
          <w:b w:val="0"/>
          <w:color w:val="3A4A28"/>
          <w:sz w:val="20"/>
        </w:rPr>
        <w:t>Revenue from digital identity segment exceeding $1M in a single quarter would demonstrate the pivot is commercially viable</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with a major financial institution or enterprise software vendor for FOTAP integration would create immediate credibility and distribution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Illiquidity: average daily trading volume × stock price falls below IOWN's $1M threshold, making this stock unsuitable for institutional portfolios</w:t>
      </w:r>
    </w:p>
    <w:p>
      <w:pPr>
        <w:spacing w:before="40" w:after="40"/>
        <w:ind w:left="283"/>
      </w:pPr>
      <w:r>
        <w:rPr>
          <w:rFonts w:ascii="Calibri" w:hAnsi="Calibri"/>
          <w:b/>
          <w:color w:val="4A6B25"/>
          <w:sz w:val="20"/>
        </w:rPr>
        <w:t xml:space="preserve">2. </w:t>
      </w:r>
      <w:r>
        <w:rPr>
          <w:rFonts w:ascii="Calibri" w:hAnsi="Calibri"/>
          <w:b w:val="0"/>
          <w:color w:val="3A4A28"/>
          <w:sz w:val="20"/>
        </w:rPr>
        <w:t>Dilution risk: 883% share count increase in one year signals ongoing capital raises are likely; future dilution would further impair current shareholders</w:t>
      </w:r>
    </w:p>
    <w:p>
      <w:pPr>
        <w:spacing w:before="40" w:after="40"/>
        <w:ind w:left="283"/>
      </w:pPr>
      <w:r>
        <w:rPr>
          <w:rFonts w:ascii="Calibri" w:hAnsi="Calibri"/>
          <w:b/>
          <w:color w:val="4A6B25"/>
          <w:sz w:val="20"/>
        </w:rPr>
        <w:t xml:space="preserve">3. </w:t>
      </w:r>
      <w:r>
        <w:rPr>
          <w:rFonts w:ascii="Calibri" w:hAnsi="Calibri"/>
          <w:b w:val="0"/>
          <w:color w:val="3A4A28"/>
          <w:sz w:val="20"/>
        </w:rPr>
        <w:t>Execution risk: with 23 employees, building a globally scalable digital identity platform while operating two distinct business lines is operationally implausible without significant capital and team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Eightco's core packaging business faces moderate AI disruption risk — AI can optimize supply chain logistics, inventory management, and packaging design, potentially commoditizing the company's core value proposition further. However, the FOTAP digital identity pivot is actually an AI-enablement play: as AI proliferates, trusted human verification becomes more valuable, not less [1]. AI Opportunity (1/1): the FOTAP platform is explicitly designed to solve an AI-created problem (distinguishing humans from AI agents), earning the tiebreaker — but the platform is pre-revenue and in beta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ORBS statistics and overview,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Eightco Holdings corporate website and investor relations — 8co.holdings</w:t>
      </w:r>
    </w:p>
    <w:p>
      <w:pPr>
        <w:spacing w:before="20" w:after="20"/>
        <w:ind w:left="170"/>
      </w:pPr>
      <w:r>
        <w:rPr>
          <w:rFonts w:ascii="Calibri" w:hAnsi="Calibri"/>
          <w:b/>
          <w:color w:val="4A6B25"/>
          <w:sz w:val="15"/>
        </w:rPr>
        <w:t xml:space="preserve">3. </w:t>
      </w:r>
      <w:r>
        <w:rPr>
          <w:rFonts w:ascii="Calibri" w:hAnsi="Calibri"/>
          <w:b w:val="0"/>
          <w:color w:val="3A4A28"/>
          <w:sz w:val="17"/>
        </w:rPr>
        <w:t>Perplexity Finance — ORBS stock data,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MacroTrends — ORBS market cap history,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