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ORC</w:t>
      </w:r>
      <w:r>
        <w:rPr>
          <w:rFonts w:ascii="Calibri" w:hAnsi="Calibri"/>
          <w:b/>
          <w:color w:val="1A2010"/>
          <w:sz w:val="40"/>
        </w:rPr>
        <w:t xml:space="preserve">  Orchid Island Capital, Inc.</w:t>
      </w:r>
    </w:p>
    <w:p>
      <w:pPr>
        <w:spacing w:after="120"/>
      </w:pPr>
      <w:r>
        <w:rPr>
          <w:rFonts w:ascii="Calibri" w:hAnsi="Calibri"/>
          <w:b/>
          <w:color w:val="6E8450"/>
          <w:sz w:val="18"/>
        </w:rPr>
        <w:t>DIVIDEND SLEEVE · 2026-03-28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Orchid Island Capital is an externally managed specialty finance company that invests on a leveraged basis in Agency residential mortgage-backed securities (RMBS) guaranteed by Fannie Mae, Freddie Mac, and Ginnie Mae. The company is managed by Bimini Advisors, LLC and generates income primarily from the spread between RMBS yields and short-term borrowing costs.</w:t>
      </w:r>
    </w:p>
    <w:p>
      <w:r>
        <w:rPr>
          <w:rFonts w:ascii="Calibri" w:hAnsi="Calibri"/>
          <w:b/>
          <w:color w:val="6E8450"/>
          <w:sz w:val="18"/>
        </w:rPr>
        <w:t>https://www.orchidislandcapital.com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Orchid Island Capital has not launched any new products, executed business model transformations, or made strategic pivots in the last 5 years. The company has operated the same Agency RMBS leveraged investment strategy since its 2013 IPO [1]. AI Deployment (0/2): No AI deployment or strategy. ORC is a small, externally managed mortgage REIT with no technology development capabilities [2]. Market Share (0/2): ORC is a $1.3B market cap mortgage REIT in a crowded field of Agency RMBS investors including much larger players like AGNC ($8B+) and NLY ($10B+). No meaningful market share differentiation [1]. Pipeline (0/2): No next-generation products, services, or strategic initiatives beyond continuing to invest in Agency RMBS [1]. R&amp;D Intensity (0/1): Zero R&amp;D investment. ORC is a financial vehicle, not an operating company with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Orchid Island Capital has no mission, purpose, or vision statement on its website or in public materials. The company exists to 'generate current income and capital appreciation' for shareholders — a purely financial objective with no articulation of broader purpose [2]. Community Impact (0/2): No charitable programs, foundation, or community investment identified. ORC is a financial vehicle with no employees (externally managed) and no community presence [2]. Employee Retention (0/2): ORC has no employees — it is externally managed by Bimini Advisors. There is no workforce to evaluate for retention or culture [2]. Insider Buying (0/2): No evidence of meaningful insider buying by management or directors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ORC's financial metrics mechanically score well due to the nature of leveraged RMBS investing. FY2025 revenue surged to $179.5M (up 230% YoY) with net interest income of $108.3M, EPS of $1.24, and profit margin of 88.6% [1]. ROE of 15.6% and forward P/E of 5.2x are attractive on paper. However, these metrics are misleading for a mortgage REIT: the 737% D/E ratio reflects the inherent leverage of the business model (7.4:1 adjusted leverage), and $70.7M of Q4's $103.4M net income came from unrealized mark-to-market gains rather than recurring interest income [1]. The payout ratio of 116% (dividends exceeded earnings on an annual basis) and history of dividend cuts undermine income sustainability. Book value per share fell $0.55 during FY2025 even as net income was $1.24/share [1]. Liquidity floor cleared: 7.1M avg volume × $6.87 = $48.8M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Orchid Island Capital is the definition of a finite player — it exists to extract yield from the spread between RMBS returns and short-term borrowing costs. There is no Just Cause, no vision of a better future, no employees to build trust with, and no strategic evolution since founding. The externally managed structure with management fees paid to Bimini Advisors creates misaligned incentives where management benefits from growing assets under management regardless of shareholder returns. Sinek would view this as a financial instrument, not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ORC has no articulated purpose beyond generating income for shareholders through RMBS spread investing. There is no vision, no cause, and no reason for the company to exist other than financial intermediation. The externally managed structure means even operational decisions serve the manager (Bimini Advisors) as much as shareholders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ORC's management team has been stable since founding — Robert Cauley and Hunter Haas have led since 2010, providing consistent leadership over 15 years [2]. However, the company has no employees (externally managed), so there are no teams to build trust with. The management consistency earns one point but the absence of an organizational culture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ORC management acknowledges competitors' strengths or uses competitive pressure for self-improvement. The company operates a commoditized strategy (leveraged Agency RMBS) identical to dozens of peers and does not differentiate or articulate how rivals push it to improve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ORC has operated the identical business model since its 2013 IPO — leveraged Agency RMBS investing through repurchase agreements. No pivots, no evolution, no adaptation despite significant changes in interest rate environments and mortgage markets [1]. The company has not diversified into non-Agency RMBS, commercial mortgages, or any adjacent strategy.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Management optimizes for spread income and manages leverage ratios — competent execution of a static strategy but no examples of sacrificing near-term results for long-term capability [1]. The continued payment of dividends in excess of earnings (116% payout ratio) prioritizes current yield over long-term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ORC offers an eye-catching 21% annualized dividend yield with Q4 2025 total return of 7.8% and FY2025 net income of $159M ($1.24 EPS) on net interest income of $108.3M [1]. The portfolio grew to $10.6B fair value with $791.8M liquidity, and the company is positioned to benefit if the yield curve steepens or mortgage spreads tighten further. Forward P/E of 5.2x with 15.6% ROE provides apparent deep value. Agency RMBS carry implicit government guarantees, eliminating credit risk from the equation [1].</w:t>
      </w:r>
    </w:p>
    <w:p>
      <w:pPr>
        <w:spacing w:after="120"/>
      </w:pPr>
      <w:r>
        <w:rPr>
          <w:rFonts w:ascii="Calibri" w:hAnsi="Calibri"/>
          <w:b w:val="0"/>
          <w:color w:val="3A4A28"/>
          <w:sz w:val="20"/>
        </w:rPr>
        <w:t>The bear case is compelling. ORC's 21% yield is not sustainable — the payout ratio is 116%, meaning dividends exceed earnings, funded partly by returning capital. Book value per share declined $0.55 in FY2025 even as net income was $1.24/share, and $70.7M of Q4's $103.4M net income came from unrealized gains that may reverse [1]. The company has cut its monthly dividend multiple times historically (from $0.14 to $0.04 and back). D/E of 737% (7.4:1 leverage) amplifies both gains and losses — a rate spike or mortgage spread blowout could devastate book value. The externally managed structure pays fees to Bimini Advisors, creating management-shareholder misalignment [2]. Sustainalytics rates ESG management as 'Weak' [3]. Analyst consensus target of $7.50 implies only 9% upside from current levels, meaning investors are primarily relying on an unsustainable dividend yield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Yield curve steepening or Fed rate cuts could widen net interest margins, supporting both earnings and dividend sustainability [1]</w:t>
      </w:r>
    </w:p>
    <w:p>
      <w:pPr>
        <w:spacing w:before="40" w:after="40"/>
        <w:ind w:left="283"/>
      </w:pPr>
      <w:r>
        <w:rPr>
          <w:rFonts w:ascii="Calibri" w:hAnsi="Calibri"/>
          <w:b/>
          <w:color w:val="4A6B25"/>
          <w:sz w:val="20"/>
        </w:rPr>
        <w:t xml:space="preserve">2. </w:t>
      </w:r>
      <w:r>
        <w:rPr>
          <w:rFonts w:ascii="Calibri" w:hAnsi="Calibri"/>
          <w:b w:val="0"/>
          <w:color w:val="3A4A28"/>
          <w:sz w:val="20"/>
        </w:rPr>
        <w:t>Mortgage spread tightening from current levels would generate mark-to-market gains on the $10.6B RMBS portfolio [1]</w:t>
      </w:r>
    </w:p>
    <w:p>
      <w:pPr>
        <w:spacing w:before="40" w:after="40"/>
        <w:ind w:left="283"/>
      </w:pPr>
      <w:r>
        <w:rPr>
          <w:rFonts w:ascii="Calibri" w:hAnsi="Calibri"/>
          <w:b/>
          <w:color w:val="4A6B25"/>
          <w:sz w:val="20"/>
        </w:rPr>
        <w:t xml:space="preserve">3. </w:t>
      </w:r>
      <w:r>
        <w:rPr>
          <w:rFonts w:ascii="Calibri" w:hAnsi="Calibri"/>
          <w:b w:val="0"/>
          <w:color w:val="3A4A28"/>
          <w:sz w:val="20"/>
        </w:rPr>
        <w:t>Monthly dividend of $0.12/share ($1.44 annualized, 21% yield) provides income appeal in a yield-starved environment if sustained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unsustainability — 116% payout ratio, history of multiple dividend cuts, and book value erosion signal the 21% yield is at significant risk of reduction [1]</w:t>
      </w:r>
    </w:p>
    <w:p>
      <w:pPr>
        <w:spacing w:before="40" w:after="40"/>
        <w:ind w:left="283"/>
      </w:pPr>
      <w:r>
        <w:rPr>
          <w:rFonts w:ascii="Calibri" w:hAnsi="Calibri"/>
          <w:b/>
          <w:color w:val="4A6B25"/>
          <w:sz w:val="20"/>
        </w:rPr>
        <w:t xml:space="preserve">2. </w:t>
      </w:r>
      <w:r>
        <w:rPr>
          <w:rFonts w:ascii="Calibri" w:hAnsi="Calibri"/>
          <w:b w:val="0"/>
          <w:color w:val="3A4A28"/>
          <w:sz w:val="20"/>
        </w:rPr>
        <w:t>Interest rate risk amplified by 7.4:1 leverage — a 100bps rate spike or mortgage spread widening could materially impair book value and force deleveraging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creates misaligned incentives — Bimini Advisors earns management fees based on assets under management, incentivizing portfolio growth over shareholder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ORC's core business — leveraged investment in Agency RMBS guaranteed by U.S. government-sponsored enterprises — is structurally protected from AI disruption. The underlying assets are physical mortgage loans with government guarantees that AI cannot replicate or replace [1]. Mortgage REIT portfolio management involves interest rate hedging and prepayment modeling that AI could enhance but not substitute. The deeply regulated financial infrastructure and GSE guarantees create meaningful defensive moats. AI Opportunity (0/1): ORC has no AI products, services, or revenue. The company employs no technology development staff and has disclosed no AI-related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Orchid Island Capital Q4 2025 Earnings Release — $179.5M FY2025 revenue, $103.4M Q4 net income, 7.8% Q4 total return, $10.6B portfolio, January 29, 2026</w:t>
      </w:r>
    </w:p>
    <w:p>
      <w:pPr>
        <w:spacing w:before="20" w:after="20"/>
        <w:ind w:left="170"/>
      </w:pPr>
      <w:r>
        <w:rPr>
          <w:rFonts w:ascii="Calibri" w:hAnsi="Calibri"/>
          <w:b/>
          <w:color w:val="4A6B25"/>
          <w:sz w:val="15"/>
        </w:rPr>
        <w:t xml:space="preserve">2. </w:t>
      </w:r>
      <w:r>
        <w:rPr>
          <w:rFonts w:ascii="Calibri" w:hAnsi="Calibri"/>
          <w:b w:val="0"/>
          <w:color w:val="3A4A28"/>
          <w:sz w:val="17"/>
        </w:rPr>
        <w:t>Orchid Island Capital Investor Relations — executive management, externally managed structure, Bimini Advisors,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Sustainalytics — Orchid Island Capital ESG Risk Rating, 'Weak' management score, March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ORC key statistics, dividend history,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