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ORIC</w:t>
      </w:r>
      <w:r>
        <w:rPr>
          <w:rFonts w:ascii="Calibri" w:hAnsi="Calibri"/>
          <w:b/>
          <w:color w:val="1A2010"/>
          <w:sz w:val="40"/>
        </w:rPr>
        <w:t xml:space="preserve">  Oric Pharmaceuticals, Inc.</w:t>
      </w:r>
    </w:p>
    <w:p>
      <w:pPr>
        <w:spacing w:after="120"/>
      </w:pPr>
      <w:r>
        <w:rPr>
          <w:rFonts w:ascii="Calibri" w:hAnsi="Calibri"/>
          <w:b/>
          <w:color w:val="6E8450"/>
          <w:sz w:val="18"/>
        </w:rPr>
        <w:t>GROWTH SLEEVE · 2026-04-23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ORIC Pharmaceuticals is a clinical-stage biopharmaceutical company focused on discovering and developing therapies to counter resistance mechanisms in cancers. Lead programs include enozertinib (ORIC-114), a brain-penetrant EGFR/HER2 exon 20 inhibitor for NSCLC, and rinzimetostat (ORIC-944), a PRC2 inhibitor for prostate cancer, both advancing toward Phase 3 trials.</w:t>
      </w:r>
    </w:p>
    <w:p>
      <w:r>
        <w:rPr>
          <w:rFonts w:ascii="Calibri" w:hAnsi="Calibri"/>
          <w:b/>
          <w:color w:val="6E8450"/>
          <w:sz w:val="18"/>
        </w:rPr>
        <w:t>104 Employees · https://www.oricpharma.com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ORIC has advanced two clinical-stage oncology programs from discovery through Phase 1b studies since its 2014 founding, but has not yet launched a commercial product or completed a pivotal trial — execution remains unproven at the registrational level [1]. AI Deployment (0/2): No evidence of AI-powered drug discovery tools or AI-related products; ORIC relies on traditional medicinal chemistry and clinical development approaches [2]. Market Share (2/2): ORIC is pursuing differentiated targets in treatment-resistant cancers — enozertinib addresses EGFR exon 20 insertion mutations where options are limited, and rinzimetostat is a novel PRC2 mechanism for prostate cancer, positioning ORIC as a potential category definer in these niches [1]. Pipeline (2/2): Two Phase 3-ready programs with specific 2026 timelines: ORIC-944 Phase 3 initiation in mCRPC in H1 2026, ORIC-114 Phase 3 initiation in 1L NSCLC in 2026, with four clinical data readouts expected through mid-2026 and a J&amp;J collaboration for combination studies [1]. R&amp;D Intensity (1/1): As a clinical-stage company, ORIC dedicates virtually all resources to R&amp;D — $69M annual cash burn on 104 employees is well above industry averages on a per-employee basis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ORIC's mission focuses on overcoming treatment resistance in cancer — a specific, purposeful cause that connects daily work to saving lives of patients who have run out of options [2]. The focus on resistance mechanisms rather than broad oncology demonstrates intentionality. However, the company is too young to have validated this through decades of execution. Community Impact (0/2): As a 104-person pre-revenue company, ORIC has limited community or charitable footprint; no specific programs were identified [3]. Employee Retention (1/2): Average management tenure of 6.8 years and board tenure of 6 years for a company founded in 2014 suggests strong retention; the recent addition of a CTO (Kevin Brodbeck) and SVP of Commercial Affairs (Keith Lui) indicate proactive team-building for late-stage development [2]. Insider Buying (1/2): CEO Dr. Jacob Chacko has led ORIC since 2018 with nearly 8 years of tenure, and the leadership team collectively has significant equity exposure through stock options, though no specific recent insider purchase transactions were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As a pre-revenue clinical-stage biotech, ORIC's infrastructure metrics are expectedly poor — no revenue, no profit margin, negative ROE of -41.3%, and negative forward P/E of -7.0x [6]. The critical positive is the very low D/E ratio of 1.9% with $281M cash and only $7.4M debt, providing a clean balance sheet and cash runway into 2H 2028 — well past anticipated Phase 3 primary endpoint readouts [1]. The company burns approximately $69M annually in free cash outflow, giving roughly 4 years of runway at current rates without additional dilution [6]. Liquidity floor cleared at $20.9M daily traded value. For a pre-revenue biotech, the balance sheet quality (minimal debt, multi-year cash runway) is the relevant infrastructure measure, but the mechanical scoring framework penalizes the lack of revenue and profits appropriately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ORIC exhibits genuine purpose-driven characteristics — the focus on treatment-resistant cancers represents a meaningful cause, and the leadership team's long tenure and methodical progression from discovery to Phase 3 readiness demonstrates patience. However, the company is too young and pre-revenue to have been truly tested, and the binary outcomes inherent in clinical-stage biotech make long-term orientation difficult to assess.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ORIC's focus on overcoming cancer treatment resistance connects its work to a genuine human need — patients who have exhausted other options represent an underserved population where new therapies can be life-changing [2]. This is specific and purposeful, but the company has only existed since 2014 and has not yet validated its cause through commercial execution or surviving a crisis. The cause is genuine but partially lived [1 pt].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ORIC describes a collaborative, open culture that empowers each person to do cutting-edge work on treatment-resistant cancers [2]. Average management tenure of 6.8 years in a company founded 12 years ago indicates strong retention. The proactive expansion of the leadership team (adding CTO and SVP of Commercial) suggests confidence and organizational maturity beyond the company's small size [1 pt].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ORIC's collaborations with J&amp;J (amivantamab combination for EGFR exon 20) and Bayer (Nubeqa combination for prostate cancer) demonstrate willingness to partner with larger companies whose strengths complement ORIC's own, rather than competing to win alone [1]. The company acknowledges competitors' assets as synergistic rather than threatening, consistent with an infinite competitive mindset [1 pt].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ORIC is too early-stage to have demonstrated existential flexibility — the company has pursued the same therapeutic focus (cancer resistance mechanisms) since founding with the same two lead programs [1]. No evidence of strategic pivots, business model changes, or willingness to abandon current approaches. This is expected for a clinical-stage company but Sinek's framework would note the lack of a flexibility test [0 pts].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ORIC's decision to pursue Phase 3 trials for both lead programs simultaneously in 2026, while extending its cash runway through operational discipline rather than excessive dilution, shows some courage in committing to multiple expensive registrational programs [1]. The focus on difficult-to-treat, resistance-driven cancers rather than following the crowd into popular targets demonstrates principled prioritization [1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ORIC Pharmaceuticals offers high-risk, high-reward exposure to two differentiated oncology programs approaching critical Phase 3 inflection points in 2026 [1]. Enozertinib targets EGFR/HER2 exon 20 mutations in NSCLC — an underserved indication with limited approved options — and rinzimetostat pursues a novel PRC2 mechanism in metastatic castration-resistant prostate cancer. The company has a clean balance sheet ($281M cash, $7.4M debt) with runway into 2H 2028, and collaborations with J&amp;J and Bayer validate the science [1]. Four clinical data readouts expected through mid-2026 provide multiple near-term catalysts, and the $1.2B market cap leaves room for significant upside if Phase 3 data is positive.</w:t>
      </w:r>
    </w:p>
    <w:p>
      <w:pPr>
        <w:spacing w:after="120"/>
      </w:pPr>
      <w:r>
        <w:rPr>
          <w:rFonts w:ascii="Calibri" w:hAnsi="Calibri"/>
          <w:b w:val="0"/>
          <w:color w:val="3A4A28"/>
          <w:sz w:val="20"/>
        </w:rPr>
        <w:t>The bear case is the classic clinical-stage biotech risk profile. ORIC has zero revenue, negative ROE of -41.3%, and burns $69M annually with no path to profitability before late 2028 at the earliest [6]. Phase 3 clinical trials are expensive and have high failure rates — oncology drug candidates succeed in Phase 3 only approximately 35-40% of the time, meaning both programs could fail. Even successful trials require 2-3 additional years of regulatory review and commercial launch before revenue materializes. The stock has already declined from its $14.93 52-week high to $10.77 (28% drawdown), and further dilutive financing may be needed if cash burn accelerates during dual Phase 3 trials [6]. Competition from larger pharma companies (J&amp;J, AstraZeneca, Takeda) in EGFR exon 20 creates commercial risk even if the drug is approved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initiation for ORIC-944 in mCRPC expected H1 2026, with rinzimetostat data potentially validating a novel mechanism of action in prostate cancer [1]</w:t>
      </w:r>
    </w:p>
    <w:p>
      <w:pPr>
        <w:spacing w:before="40" w:after="40"/>
        <w:ind w:left="283"/>
      </w:pPr>
      <w:r>
        <w:rPr>
          <w:rFonts w:ascii="Calibri" w:hAnsi="Calibri"/>
          <w:b/>
          <w:color w:val="4A6B25"/>
          <w:sz w:val="20"/>
        </w:rPr>
        <w:t xml:space="preserve">2. </w:t>
      </w:r>
      <w:r>
        <w:rPr>
          <w:rFonts w:ascii="Calibri" w:hAnsi="Calibri"/>
          <w:b w:val="0"/>
          <w:color w:val="3A4A28"/>
          <w:sz w:val="20"/>
        </w:rPr>
        <w:t>Phase 3 initiation for ORIC-114 in 1L NSCLC in 2026, with J&amp;J combination study (amivantamab + enozertinib) providing large-pharma validation [1]</w:t>
      </w:r>
    </w:p>
    <w:p>
      <w:pPr>
        <w:spacing w:before="40" w:after="40"/>
        <w:ind w:left="283"/>
      </w:pPr>
      <w:r>
        <w:rPr>
          <w:rFonts w:ascii="Calibri" w:hAnsi="Calibri"/>
          <w:b/>
          <w:color w:val="4A6B25"/>
          <w:sz w:val="20"/>
        </w:rPr>
        <w:t xml:space="preserve">3. </w:t>
      </w:r>
      <w:r>
        <w:rPr>
          <w:rFonts w:ascii="Calibri" w:hAnsi="Calibri"/>
          <w:b w:val="0"/>
          <w:color w:val="3A4A28"/>
          <w:sz w:val="20"/>
        </w:rPr>
        <w:t>Four clinical data readouts expected through mid-2026 across both programs, each providing binary catalyst events for the stock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trial failure risk — oncology drugs have approximately 35-40% Phase 3 success rates, and failure in either lead program would significantly impair the company's value [1]</w:t>
      </w:r>
    </w:p>
    <w:p>
      <w:pPr>
        <w:spacing w:before="40" w:after="40"/>
        <w:ind w:left="283"/>
      </w:pPr>
      <w:r>
        <w:rPr>
          <w:rFonts w:ascii="Calibri" w:hAnsi="Calibri"/>
          <w:b/>
          <w:color w:val="4A6B25"/>
          <w:sz w:val="20"/>
        </w:rPr>
        <w:t xml:space="preserve">2. </w:t>
      </w:r>
      <w:r>
        <w:rPr>
          <w:rFonts w:ascii="Calibri" w:hAnsi="Calibri"/>
          <w:b w:val="0"/>
          <w:color w:val="3A4A28"/>
          <w:sz w:val="20"/>
        </w:rPr>
        <w:t>Cash burn acceleration during dual Phase 3 trials could require dilutive financing before the 2H 2028 runway estimate, compressing per-share value [6]</w:t>
      </w:r>
    </w:p>
    <w:p>
      <w:pPr>
        <w:spacing w:before="40" w:after="40"/>
        <w:ind w:left="283"/>
      </w:pPr>
      <w:r>
        <w:rPr>
          <w:rFonts w:ascii="Calibri" w:hAnsi="Calibri"/>
          <w:b/>
          <w:color w:val="4A6B25"/>
          <w:sz w:val="20"/>
        </w:rPr>
        <w:t xml:space="preserve">3. </w:t>
      </w:r>
      <w:r>
        <w:rPr>
          <w:rFonts w:ascii="Calibri" w:hAnsi="Calibri"/>
          <w:b w:val="0"/>
          <w:color w:val="3A4A28"/>
          <w:sz w:val="20"/>
        </w:rPr>
        <w:t>Competitive landscape in EGFR exon 20 includes J&amp;J's amivantamab (already approved), AstraZeneca's osimertinib, and other emerging therapies that may establish market positions before enozertinib reaches approval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Drug development is a highly regulated, biology-driven process where AI cannot substitute for clinical trials, FDA review, or patient treatment — ORIC's value lies in its proprietary molecules and clinical data, which cannot be replicated by AI [2]. However, AI is increasingly used in drug discovery (target identification, molecular design, trial optimization), meaning AI-enabled competitors could potentially identify similar resistance mechanisms faster, creating moderate competitive pressure. The deeply regulated approval process (multi-year, multi-phase clinical trials) provides structural protection against rapid AI disruption. AI Opportunity (1/1): While ORIC does not currently deploy AI for drug discovery, the pharmaceutical industry broadly is adopting AI tools; ORIC's collaborations with J&amp;J and Bayer include partners who actively use AI in their R&amp;D pipelines, providing indirect AI-enhanced development capability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ORIC Pharmaceuticals Corporate Update — Phase 3 timelines for ORIC-944 and ORIC-114 in 2026, four data readouts expected, $413M cash position, January 2026</w:t>
      </w:r>
    </w:p>
    <w:p>
      <w:pPr>
        <w:spacing w:before="20" w:after="20"/>
        <w:ind w:left="170"/>
      </w:pPr>
      <w:r>
        <w:rPr>
          <w:rFonts w:ascii="Calibri" w:hAnsi="Calibri"/>
          <w:b/>
          <w:color w:val="4A6B25"/>
          <w:sz w:val="15"/>
        </w:rPr>
        <w:t xml:space="preserve">2. </w:t>
      </w:r>
      <w:r>
        <w:rPr>
          <w:rFonts w:ascii="Calibri" w:hAnsi="Calibri"/>
          <w:b w:val="0"/>
          <w:color w:val="3A4A28"/>
          <w:sz w:val="17"/>
        </w:rPr>
        <w:t>ORIC Pharmaceuticals Leadership and Culture — CEO Dr. Jacob Chacko (7.9yr tenure), CTO Kevin Brodbeck appointment, collaborative culture; mission and pipeline information</w:t>
      </w:r>
    </w:p>
    <w:p>
      <w:pPr>
        <w:spacing w:before="20" w:after="20"/>
        <w:ind w:left="170"/>
      </w:pPr>
      <w:r>
        <w:rPr>
          <w:rFonts w:ascii="Calibri" w:hAnsi="Calibri"/>
          <w:b/>
          <w:color w:val="4A6B25"/>
          <w:sz w:val="15"/>
        </w:rPr>
        <w:t xml:space="preserve">3. </w:t>
      </w:r>
      <w:r>
        <w:rPr>
          <w:rFonts w:ascii="Calibri" w:hAnsi="Calibri"/>
          <w:b w:val="0"/>
          <w:color w:val="3A4A28"/>
          <w:sz w:val="17"/>
        </w:rPr>
        <w:t>ORIC Pharmaceuticals Q2 2025 Financial Results — operational updates, cash runway extension into 2H 2028</w:t>
      </w:r>
    </w:p>
    <w:p>
      <w:pPr>
        <w:spacing w:before="20" w:after="20"/>
        <w:ind w:left="170"/>
      </w:pPr>
      <w:r>
        <w:rPr>
          <w:rFonts w:ascii="Calibri" w:hAnsi="Calibri"/>
          <w:b/>
          <w:color w:val="4A6B25"/>
          <w:sz w:val="15"/>
        </w:rPr>
        <w:t xml:space="preserve">4. </w:t>
      </w:r>
      <w:r>
        <w:rPr>
          <w:rFonts w:ascii="Calibri" w:hAnsi="Calibri"/>
          <w:b w:val="0"/>
          <w:color w:val="3A4A28"/>
          <w:sz w:val="17"/>
        </w:rPr>
        <w:t>AInvest — ORIC Q1 2025 earnings beat ($-0.42 vs $-0.51 estimate), financial resilience analysis</w:t>
      </w:r>
    </w:p>
    <w:p>
      <w:pPr>
        <w:spacing w:before="20" w:after="20"/>
        <w:ind w:left="170"/>
      </w:pPr>
      <w:r>
        <w:rPr>
          <w:rFonts w:ascii="Calibri" w:hAnsi="Calibri"/>
          <w:b/>
          <w:color w:val="4A6B25"/>
          <w:sz w:val="15"/>
        </w:rPr>
        <w:t xml:space="preserve">5. </w:t>
      </w:r>
      <w:r>
        <w:rPr>
          <w:rFonts w:ascii="Calibri" w:hAnsi="Calibri"/>
          <w:b w:val="0"/>
          <w:color w:val="3A4A28"/>
          <w:sz w:val="17"/>
        </w:rPr>
        <w:t>Simply Wall St — ORIC cancer pipeline progress, big pharma partnerships reshape risk profile</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ORIC (ORIC Pharmaceuticals),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