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ORI</w:t>
      </w:r>
      <w:r>
        <w:rPr>
          <w:rFonts w:ascii="Calibri" w:hAnsi="Calibri"/>
          <w:b/>
          <w:color w:val="1A2010"/>
          <w:sz w:val="40"/>
        </w:rPr>
        <w:t xml:space="preserve">  Old Republic International Corporation</w:t>
      </w:r>
    </w:p>
    <w:p>
      <w:pPr>
        <w:spacing w:after="120"/>
      </w:pPr>
      <w:r>
        <w:rPr>
          <w:rFonts w:ascii="Calibri" w:hAnsi="Calibri"/>
          <w:b/>
          <w:color w:val="6E8450"/>
          <w:sz w:val="18"/>
        </w:rPr>
        <w:t>DIVIDEND SLEEVE · 2026-04-01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Old Republic International Corporation, founded in 1923, provides insurance underwriting and related services through two segments: Specialty Insurance (commercial auto, workers' compensation, aviation, cyber, surety, D&amp;O) and Title Insurance (real estate title protection, escrow, and closing services). The company is a Fortune 500 member and has paid dividends without interruption since 1942.</w:t>
      </w:r>
    </w:p>
    <w:p>
      <w:r>
        <w:rPr>
          <w:rFonts w:ascii="Calibri" w:hAnsi="Calibri"/>
          <w:b/>
          <w:color w:val="6E8450"/>
          <w:sz w:val="18"/>
        </w:rPr>
        <w:t>9,500 Employees · https://www.oldrepublic.com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Old Republic expanded into new specialty lines including cyber and environmental insurance, with these operations collectively writing over $300 million in net premium in 2025 and generating positive operating income — a meaningful diversification of earnings beyond the legacy book [1]. AI Deployment (0/2): No evidence of AI-powered products or quantified AI-driven efficiency gains; the company maintains a conservative, traditional approach to underwriting and technology adoption. Market Share (1/2): Old Republic is a meaningful player in title insurance (one of the largest U.S. title underwriters) and holds strong positions in commercial auto, surety, and workers' compensation — but is not the outright leader in any category [1]. Pipeline (1/2): The ongoing deployment of Qualia technology across the title insurance segment is expected to improve residential operations and drive efficiencies, while new specialty lines provide further growth vectors [1]. R&amp;D Intensity (0/1): As a traditional insurer, Old Republic's R&amp;D spending is minimal relative to technology peers and below average even for insurance modernization.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Old Republic Way' is a specific and deeply embedded operating philosophy that emphasizes disciplined underwriting, conservative reserving, and long-term stewardship — maintained consistently since 1923 across multiple leadership transitions and market cycles [2]. The Board explicitly holds the CEO responsible for 'setting the proper tone in shaping and nurturing the institution's culture and values,' making culture a governance-level priority. Community Impact (0/2): No evidence of distinctive charitable programs, corporate foundation, or community investment initiatives beyond standard corporate philanthropy. Employee Retention (1/2): Leadership tenure is exceptionally long — Spencer LeRoy III served as General Counsel since 1992 before becoming Chairman in 2021, and CEO Craig Smiddy emphasized that new leaders are selected for cultural alignment with 'a people-first leadership style' [2]. The decentralized subsidiary model fosters autonomy and long careers. Insider Buying (0/2): No specific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Republic's financial profile is exceptionally strong for a dividend-oriented insurer. D/E of 30.1% is well below the 70% target, reflecting conservative leverage [5]. ROE of 16.3% exceeds the 15% target, with management reporting a 14.1% operating return on beginning equity in FY2025 [1]. Revenue grew 19.3% YoY to $9.14B on strong specialty and title insurance volumes [1]. Forward P/E of 11.4x is deeply discounted versus the 20x target. Profit margin of 10.2% is modest for insurance but reflects the conservative reserving philosophy. The dividend profile is exceptional: 84 consecutive years paid (since 1942), 44 consecutive years of growth, payout ratio of 31.2%, and 5yr dividend growth CAGR of approximately 7.4% (regular dividends), plus special dividends of $2.00 in 2025 and $2.50 in 2026 [1]. Liquidity easily cleared at $81M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Old Republic embodies many infinite game principles through its 103-year operating history, disciplined adherence to 'The Old Republic Way,' and multigenerational dividend streak. The company's decentralized subsidiary model and patient approach to new specialty lines reflect a play-to-keep-playing mentality. However, the lack of transformative reinvention and incremental approach to innovation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Republic's Just Cause centers on disciplined, long-term insurance underwriting that protects policyholders and generates consistent returns across market cycles (2/3 pts). 'The Old Republic Way' has been consistently maintained since 1923 across multiple leadership transitions, crises, and industry disruptions — a genuine cause validated by over a century of execution [2]. However, it is more of an operating philosophy than a transformative vision of a better future, which prevents a full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decentralized subsidiary model gives operating company leaders significant autonomy, creating a culture of trust and empowerment (1/2 pts). Leadership tenure is notably long — Spencer LeRoy III's 30+ year tenure and the emphasis on promoting culturally aligned leaders suggest a high-trust environment [2]. CEO Smiddy's emphasis on 'people-first leadership style' and the Board's explicit governance of corporate culture point to organizational trust, though no specific retention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competitive language focuses on disciplined underwriting and improving combined ratios rather than 'beating' competitors (1/1 pt). Old Republic competes with Berkshire Hathaway, Chubb, and Fidelity National in various lines, and management discusses competitive dynamics in terms of maintaining underwriting standards rather than market share conquest [1]. The expansion into new specialty lines reflects a desire to improve capabilities, not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Republic has evolved incrementally over its century-long history, expanding from traditional property &amp; casualty into title insurance, and more recently into cyber, environmental, and financial lines specialty insurance (1/2 pts) [1]. The new specialty operations writing $300M in premium represent meaningful diversification. However, none of these moves constitutes a transformative reinvention — the company has remained an insurer throughout, adapting within its industry rather than fundamentally pivoting.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Republic has demonstrated disciplined underwriting courage by walking away from unprofitable lines and maintaining conservative reserving even when it depressed short-term earnings (1/2 pts). Management explicitly acknowledged that Q4 2025 deterioration in commercial auto and workers' compensation combined ratios would pressure results, yet maintained reserving discipline rather than releasing reserves to smooth earnings [1]. The $1B+ share repurchase program and special dividends reflect confidence, though these are capital return decisions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Republic International is a century-old specialty insurer delivering strong financial results — FY2025 revenue of $9.14B (up 19.3% YoY), consolidated pretax operating income of $1.0B, and operating return on beginning equity of 14.1% [1]. The balance sheet is conservatively managed with D/E of just 30% and a payout ratio of 31%, supporting the extraordinary 84-year consecutive dividend payment streak and 44 consecutive years of dividend increases. At 11.4x forward P/E with a 3.16% yield plus special dividends ($2.50 in 2026), the valuation is compelling for income investors. New specialty lines collectively wrote $300M in net premium in 2025 and are already generating positive operating income, demonstrating the company's ability to diversify into adjacent markets while maintaining underwriting discipline [1].</w:t>
      </w:r>
    </w:p>
    <w:p>
      <w:pPr>
        <w:spacing w:after="120"/>
      </w:pPr>
      <w:r>
        <w:rPr>
          <w:rFonts w:ascii="Calibri" w:hAnsi="Calibri"/>
          <w:b w:val="0"/>
          <w:color w:val="3A4A28"/>
          <w:sz w:val="20"/>
        </w:rPr>
        <w:t>The bear case centers on Old Republic's limited innovation profile and modest profit margins. Profit margin of 10.2% is structurally low for the insurance industry, reflecting conservative reserving that prioritizes long-term stability over near-term profitability. The company has minimal AI or technology strategy, creating a risk that more tech-forward insurers could gain efficiency advantages over time. Revenue growth of 19.3% YoY is partially driven by strong insurance pricing cycles that will normalize, and management has cautioned that investment income growth will decelerate in 2026 [1]. The 5yr revenue CAGR of approximately 4.2% reflects the underlying organic growth trajectory, which is modest. Q4 2025 deterioration in commercial auto and workers' compensation combined ratios signals margin pressure in key specialty lines. Title insurance remains cyclically exposed to mortgage origination volumes, which are sensitive to interest rate movements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specialty lines scaling past $300M in annual net premium with positive operating income, providing earnings diversification beyond legacy commercial auto and workers' compensation [1]</w:t>
      </w:r>
    </w:p>
    <w:p>
      <w:pPr>
        <w:spacing w:before="40" w:after="40"/>
        <w:ind w:left="283"/>
      </w:pPr>
      <w:r>
        <w:rPr>
          <w:rFonts w:ascii="Calibri" w:hAnsi="Calibri"/>
          <w:b/>
          <w:color w:val="4A6B25"/>
          <w:sz w:val="20"/>
        </w:rPr>
        <w:t xml:space="preserve">2. </w:t>
      </w:r>
      <w:r>
        <w:rPr>
          <w:rFonts w:ascii="Calibri" w:hAnsi="Calibri"/>
          <w:b w:val="0"/>
          <w:color w:val="3A4A28"/>
          <w:sz w:val="20"/>
        </w:rPr>
        <w:t>Qualia technology deployment across the title insurance segment, expected to improve residential operations efficiency and drive margin expansion in a rising transaction volume environment [1]</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capital returns — $2.50 special dividend in 2026 plus regular dividend increases and the $1B+ share repurchase program represent significant total return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pricing cycle normalization — the hard market that drove 19.3% revenue growth will eventually soften, compressing premium growth and potentially pressuring combined ratios [1]</w:t>
      </w:r>
    </w:p>
    <w:p>
      <w:pPr>
        <w:spacing w:before="40" w:after="40"/>
        <w:ind w:left="283"/>
      </w:pPr>
      <w:r>
        <w:rPr>
          <w:rFonts w:ascii="Calibri" w:hAnsi="Calibri"/>
          <w:b/>
          <w:color w:val="4A6B25"/>
          <w:sz w:val="20"/>
        </w:rPr>
        <w:t xml:space="preserve">2. </w:t>
      </w:r>
      <w:r>
        <w:rPr>
          <w:rFonts w:ascii="Calibri" w:hAnsi="Calibri"/>
          <w:b w:val="0"/>
          <w:color w:val="3A4A28"/>
          <w:sz w:val="20"/>
        </w:rPr>
        <w:t>Title insurance cyclicality — residential volumes remain sensitive to mortgage rates, and a sustained high-rate environment could suppress origination activity and title revenue [4]</w:t>
      </w:r>
    </w:p>
    <w:p>
      <w:pPr>
        <w:spacing w:before="40" w:after="40"/>
        <w:ind w:left="283"/>
      </w:pPr>
      <w:r>
        <w:rPr>
          <w:rFonts w:ascii="Calibri" w:hAnsi="Calibri"/>
          <w:b/>
          <w:color w:val="4A6B25"/>
          <w:sz w:val="20"/>
        </w:rPr>
        <w:t xml:space="preserve">3. </w:t>
      </w:r>
      <w:r>
        <w:rPr>
          <w:rFonts w:ascii="Calibri" w:hAnsi="Calibri"/>
          <w:b w:val="0"/>
          <w:color w:val="3A4A28"/>
          <w:sz w:val="20"/>
        </w:rPr>
        <w:t>Technology disruption lag — minimal investment in AI and insurtech capabilities creates a long-term competitive risk as peers deploy automated underwriting, claims processing, and customer acquisition tools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underwriting is fundamentally protected from AI disruption due to heavy regulatory requirements, state-by-state licensing, long-tail liability management, and the physical-world nature of property &amp; casualty risk assessment [2]. Title insurance involves legal searches, county-level real estate records, and escrow services that require human judgment and regulatory compliance. While AI could enhance claims processing and risk pricing, the core business of bearing and reserving for insurance risk cannot be displaced by AI. Analysts have not flagged AI as a meaningful disruption risk for Old Republic's business lines. AI Opportunity (0/1): No evidence of AI-generated revenue. Old Republic has not publicly disclosed AI-powered products or services generating quantifiable revenue, though the Qualia technology platform in title insurance may incorporate automation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Old Republic International FY2025 Earnings Release and Q4 2025 Earnings Call — record $1.0B pretax operating income, 14.1% operating ROE, $300M+ specialty premium, January 2026</w:t>
      </w:r>
    </w:p>
    <w:p>
      <w:pPr>
        <w:spacing w:before="20" w:after="20"/>
        <w:ind w:left="170"/>
      </w:pPr>
      <w:r>
        <w:rPr>
          <w:rFonts w:ascii="Calibri" w:hAnsi="Calibri"/>
          <w:b/>
          <w:color w:val="4A6B25"/>
          <w:sz w:val="15"/>
        </w:rPr>
        <w:t xml:space="preserve">2. </w:t>
      </w:r>
      <w:r>
        <w:rPr>
          <w:rFonts w:ascii="Calibri" w:hAnsi="Calibri"/>
          <w:b w:val="0"/>
          <w:color w:val="3A4A28"/>
          <w:sz w:val="17"/>
        </w:rPr>
        <w:t>Old Republic International IR — Executive Management, Board governance, corporate culture ('The Old Republic Way'), leadership changes at Old Republic Professional,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Old Republic International rated Average management of ESG material risk, Medium exposure</w:t>
      </w:r>
    </w:p>
    <w:p>
      <w:pPr>
        <w:spacing w:before="20" w:after="20"/>
        <w:ind w:left="170"/>
      </w:pPr>
      <w:r>
        <w:rPr>
          <w:rFonts w:ascii="Calibri" w:hAnsi="Calibri"/>
          <w:b/>
          <w:color w:val="4A6B25"/>
          <w:sz w:val="15"/>
        </w:rPr>
        <w:t xml:space="preserve">4. </w:t>
      </w:r>
      <w:r>
        <w:rPr>
          <w:rFonts w:ascii="Calibri" w:hAnsi="Calibri"/>
          <w:b w:val="0"/>
          <w:color w:val="3A4A28"/>
          <w:sz w:val="17"/>
        </w:rPr>
        <w:t>TipRanks — Old Republic Earnings Call analysis: record year with margin pressures in commercial auto and workers' compensation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ORI (Old Republic International),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