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OR</w:t>
      </w:r>
      <w:r>
        <w:rPr>
          <w:rFonts w:ascii="Calibri" w:hAnsi="Calibri"/>
          <w:b/>
          <w:color w:val="1A2010"/>
          <w:sz w:val="40"/>
        </w:rPr>
        <w:t xml:space="preserve">  OR Royalties Inc.</w:t>
      </w:r>
    </w:p>
    <w:p>
      <w:pPr>
        <w:spacing w:after="120"/>
      </w:pPr>
      <w:r>
        <w:rPr>
          <w:rFonts w:ascii="Calibri" w:hAnsi="Calibri"/>
          <w:b/>
          <w:color w:val="6E8450"/>
          <w:sz w:val="18"/>
        </w:rPr>
        <w:t>GROWTH SLEEVE · 2026-04-25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OR Royalties Inc. (formerly Osisko Gold Royalties) acquires and manages precious metal royalties, streams, and other interests in mining operations primarily in Canada and internationally. Its primary asset is a 3-5% net smelter return royalty on the Canadian Malartic complex. The company also holds options on offtake and exclusive rights to participate in future royalty/stream financings. Founded in 2014, headquartered in Montreal, Canada.</w:t>
      </w:r>
    </w:p>
    <w:p>
      <w:r>
        <w:rPr>
          <w:rFonts w:ascii="Calibri" w:hAnsi="Calibri"/>
          <w:b/>
          <w:color w:val="6E8450"/>
          <w:sz w:val="18"/>
        </w:rPr>
        <w:t>https://orroyalties.com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Osisko (now OR Royalties) has built a premier precious metals royalty/streaming portfolio since its 2014 founding, growing revenue from $124M in 2020 to $277M in 2025 (17.5% 5yr CAGR) [1]. Q1 2026 revenue surged to $102.8M (87% YoY increase) driven by gold prices reaching $4,873/oz [1]. The company rebranded to OR Royalties in May 2025, signaling strategic evolution beyond gold. AI Deployment (0/2): No AI products or quantified AI-driven operational improvements. Royalty companies have minimal operational infrastructure requiring AI deployment. Market Share (1/2): OR Royalties is among the top-tier precious metals royalty/streaming companies alongside Franco-Nevada, Wheaton Precious Metals, and Royal Gold. The Canadian Malartic royalty is a world-class foundational asset, and the portfolio's diversification across 175+ royalties/streams provides meaningful market presence [1]. Pipeline (1/2): Five-year outlook projects 110,000-125,000 GEOs by 2029 (up from current ~85,000 guidance range), providing clear growth visibility as development-stage royalties enter production [1]. R&amp;D Intensity (1/1): For a royalty company, 'R&amp;D' manifests as deal-making capability and geological expertise. Osisko's team has structured innovative financial instruments for mining projects and maintains technical evaluation capabilities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OR Royalties' purpose centers on 'Growing Responsibly' — providing capital to mining companies while maintaining strong ESG standards [3]. The mission is clear and connects the company's financial role to responsible resource development, but it does not articulate a transformative vision beyond the obvious. Community Impact (1/2): OR Royalties committed to the UN Global Compact and publishes annual sustainability reports [3]. The company achieved 'ESG Industry Top-Rated' from Sustainalytics, 'AA' from MSCI, and 'Prime' from ISS — strong third-party validation of ESG practices. However, specific charitable dollar amounts or community programs were not found. Employee Retention (1/2): Founder Sean Roosen led the company for nearly a decade (2014-2023), demonstrating leadership continuity. CEO Jason Attew was appointed in January 2024 with 30 years of mining experience [2]. Multiple executives have long tenure, suggesting organizational stability. Insider Buying (1/2): Insider transactions show 'Other' transactions (likely stock awards/vesting) in March 2026, and the company repurchased $12.9M in shares in March 2026 [4]. The buyback signals management's confidence in valuation, though no direct insider purchases were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OR Royalties has a pristine financial profile befitting the royalty/streaming model. Revenue of $277M grew 59.4% YoY, driven by both production growth and gold price appreciation to $4,873/oz [1]. Profit margin of 74.3% and operating margin of 77.5% demonstrate the extraordinary leverage inherent in royalty businesses — minimal capex, no operating costs [4]. D/E of 0.35% with $142M cash against $5M debt creates a fortress balance sheet [4]. ROE of 15.7% is at target, and free cash flow of $151M (54% of revenue) provides substantial capital allocation flexibility. Forward P/E of 23.9x is reasonable given 59% revenue growth and the defensive nature of gold royalties. Gross margin of 96.7% is among the highest of any business model. Cash margin of 97% on Q1 2026 revenue confirms the scalability [1]. Liquidity easily cleared at $52.5M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OR Royalties demonstrates solid infinite game characteristics through its patient, multi-decade royalty portfolio construction and responsible growth philosophy. The company's business model — owning perpetual royalties on long-life mining assets — is inherently long-term oriented. However, the 2023 leadership transition from founder Roosen to CEO Attew represents an untested chapter, and the company's purpose beyond profit (accumulating royalties) lacks the inspirational depth that defines infinite game leaders.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OR Royalties' 'Growing Responsibly' framework connects the company's capital-provision role to broader stakeholder value — providing non-dilutive financing to mining companies while maintaining industry-leading ESG standards [3]. Founder Sean Roosen built the company with a vision of creating a Canadian champion in precious metals royalties, and strategic decisions consistently favored long-term portfolio quality over short-term deal volume. The cause is genuine but has not yet been tested through crisis under new leadership.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OR Royalties has maintained organizational stability through the 2024 CEO transition, with multiple executives (CFO Ruel, VP Farmer) continuing in their roles [2]. The company's lean structure (royalty companies typically have fewer than 50 employees) requires high trust and competence from each team member. Founder Roosen's nearly decade-long tenure established a strong cultural foundation. No evidence of major layoffs, cultural dysfunction, or organizational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OR Royalties competes against Franco-Nevada, Wheaton Precious Metals, and Royal Gold in the royalty/streaming space. Management commentary focuses on portfolio quality, GEO growth, and competitive deal execution rather than acknowledging what can be learned from peers. The rebranding to 'OR Royalties' and five-year growth targets suggest a focus on competing for market position rather than self-improvement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OR Royalties evolved from Osisko Mining (a gold producer) to a pure royalty/streaming company, a meaningful business model shift that required abandoning operational mining in favor of financial instruments [2]. The May 2025 rebrand from Osisko Gold Royalties to OR Royalties signals openness to diversifying beyond gold. The five-year plan targeting 110,000-125,000 GEOs by 2029 shows strategic evolution, though the core model remains unchanged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maintain disciplined capital allocation and reject overpriced deals during the 2020-2023 gold price environment, when competitors were aggressively acquiring, shows restraint that served long-term portfolio quality [1]. The $12.9M share buyback in March 2026 demonstrates conviction at current prices [4]. However, the CEO transition and lack of transformative strategic bets under new leadership limits the evidence of courageous decision-making.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OR Royalties offers one of the cleanest financial profiles in the mining sector — 74.3% profit margins, 96.7% gross margins, $151M free cash flow, and D/E of 0.35% — all leveraged to the gold price environment [1]. Q1 2026 revenue of $102.8M (87% YoY growth) with 97% cash margins demonstrates the extraordinary operating leverage of the royalty model when gold is at $4,873/oz [1]. Revenue grew 59.4% in FY2025 to $277M, and the five-year plan targeting 110,000-125,000 GEOs by 2029 provides organic production growth independent of commodity prices. The fortress balance sheet ($142M cash, $5M debt) and low 19.3% payout ratio give management flexibility for accretive acquisitions [4]. At 23.9x forward P/E with 59% revenue growth and industry-leading ESG credentials ('AA' MSCI, Sustainalytics Top-Rated), OR represents a premium gold exposure vehicle with downside protection from the royalty model's zero operating cost structure [3].</w:t>
      </w:r>
    </w:p>
    <w:p>
      <w:pPr>
        <w:spacing w:after="120"/>
      </w:pPr>
      <w:r>
        <w:rPr>
          <w:rFonts w:ascii="Calibri" w:hAnsi="Calibri"/>
          <w:b w:val="0"/>
          <w:color w:val="3A4A28"/>
          <w:sz w:val="20"/>
        </w:rPr>
        <w:t>The bear case centers on gold price dependency and valuation sensitivity. OR Royalties' revenue surge is primarily driven by gold at $4,873/oz — a historical extreme [1]. A gold price correction to $3,000/oz would compress revenue by ~40% and earnings by a larger percentage given the fixed overhead structure. The trailing P/E of 37x reflects the current gold euphoria and could contract sharply in a risk-on environment. The CEO transition from founder Roosen to Jason Attew in 2024 introduces execution uncertainty — Attew is experienced but has not yet executed a major transformative deal [2]. Dividend yield of 0.55% is nominal and provides minimal income support. The Canadian Malartic complex concentration (primary asset) creates single-asset risk despite the 175+ royalty portfolio. Competing royalty/streaming companies (Franco-Nevada, Wheaton) have larger portfolios and longer track records. The 'OR Royalties' rebrand signals potential diversification beyond gold, which could dilute the pure-play gold exposure that attracts investors to the stock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of $102.8M with 97% cash margins implies a $400M+ annual revenue run rate at current gold prices, representing a step-change in financial scale [1]</w:t>
      </w:r>
    </w:p>
    <w:p>
      <w:pPr>
        <w:spacing w:before="40" w:after="40"/>
        <w:ind w:left="283"/>
      </w:pPr>
      <w:r>
        <w:rPr>
          <w:rFonts w:ascii="Calibri" w:hAnsi="Calibri"/>
          <w:b/>
          <w:color w:val="4A6B25"/>
          <w:sz w:val="20"/>
        </w:rPr>
        <w:t xml:space="preserve">2. </w:t>
      </w:r>
      <w:r>
        <w:rPr>
          <w:rFonts w:ascii="Calibri" w:hAnsi="Calibri"/>
          <w:b w:val="0"/>
          <w:color w:val="3A4A28"/>
          <w:sz w:val="20"/>
        </w:rPr>
        <w:t>Five-year organic production growth from ~85,000 GEOs to 110,000-125,000 GEOs by 2029 provides gold-price-independent revenue expansion as development-stage royalties enter production [1]</w:t>
      </w:r>
    </w:p>
    <w:p>
      <w:pPr>
        <w:spacing w:before="40" w:after="40"/>
        <w:ind w:left="283"/>
      </w:pPr>
      <w:r>
        <w:rPr>
          <w:rFonts w:ascii="Calibri" w:hAnsi="Calibri"/>
          <w:b/>
          <w:color w:val="4A6B25"/>
          <w:sz w:val="20"/>
        </w:rPr>
        <w:t xml:space="preserve">3. </w:t>
      </w:r>
      <w:r>
        <w:rPr>
          <w:rFonts w:ascii="Calibri" w:hAnsi="Calibri"/>
          <w:b w:val="0"/>
          <w:color w:val="3A4A28"/>
          <w:sz w:val="20"/>
        </w:rPr>
        <w:t>Fortress balance sheet ($142M cash, $5M debt, $151M FCF) enables accretive acquisitions during mining industry distress, potentially adding high-quality royalties at attractive valuations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dependency — revenue is heavily leveraged to gold at $4,873/oz, and a correction toward historical averages could compress revenue 30-40% with amplified earnings impact [1]</w:t>
      </w:r>
    </w:p>
    <w:p>
      <w:pPr>
        <w:spacing w:before="40" w:after="40"/>
        <w:ind w:left="283"/>
      </w:pPr>
      <w:r>
        <w:rPr>
          <w:rFonts w:ascii="Calibri" w:hAnsi="Calibri"/>
          <w:b/>
          <w:color w:val="4A6B25"/>
          <w:sz w:val="20"/>
        </w:rPr>
        <w:t xml:space="preserve">2. </w:t>
      </w:r>
      <w:r>
        <w:rPr>
          <w:rFonts w:ascii="Calibri" w:hAnsi="Calibri"/>
          <w:b w:val="0"/>
          <w:color w:val="3A4A28"/>
          <w:sz w:val="20"/>
        </w:rPr>
        <w:t>Valuation risk — trailing P/E of 37x reflects elevated gold prices and premium multiples that could contract in a risk-on environment or gold price correction [4]</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 Jason Attew replaced founder Sean Roosen in January 2024 and has not yet executed a transformative deal that would validate his leadership of OR Royalties' next growth phase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 IMMUNE): OR Royalties' business model is structurally immune to AI disruption. The company earns royalties and streaming revenue from physical mining operations — gold, silver, and other precious metals extracted from the earth. AI cannot replace physical resource extraction, geological assets, or the contractual royalty agreements that generate OR's revenue [1]. The royalty model has zero operating risk (no mines to operate) and is entirely asset-backed by physical mineral deposits with decades-long production lives. If anything, AI may increase demand for precious metals through technology applications and data center power demand driving inflation hedging. AI Opportunity (0/1): No AI-derived revenue. OR Royalties is a financial vehicle collecting royalties from mining operations, with no AI product or service component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OR Royalties Q1 2026 Earnings — $102.8M revenue (+87% YoY), 97% cash margins, gold at $4,873/oz, and FY2025 full-year $277M revenue (+59.4%), April 2026</w:t>
      </w:r>
    </w:p>
    <w:p>
      <w:pPr>
        <w:spacing w:before="20" w:after="20"/>
        <w:ind w:left="170"/>
      </w:pPr>
      <w:r>
        <w:rPr>
          <w:rFonts w:ascii="Calibri" w:hAnsi="Calibri"/>
          <w:b/>
          <w:color w:val="4A6B25"/>
          <w:sz w:val="15"/>
        </w:rPr>
        <w:t xml:space="preserve">2. </w:t>
      </w:r>
      <w:r>
        <w:rPr>
          <w:rFonts w:ascii="Calibri" w:hAnsi="Calibri"/>
          <w:b w:val="0"/>
          <w:color w:val="3A4A28"/>
          <w:sz w:val="17"/>
        </w:rPr>
        <w:t>OR Royalties leadership — CEO Jason Attew appointed January 2024, founder Sean Roosen tenure 2014-2023, executive team continuity, 2024-2026</w:t>
      </w:r>
    </w:p>
    <w:p>
      <w:pPr>
        <w:spacing w:before="20" w:after="20"/>
        <w:ind w:left="170"/>
      </w:pPr>
      <w:r>
        <w:rPr>
          <w:rFonts w:ascii="Calibri" w:hAnsi="Calibri"/>
          <w:b/>
          <w:color w:val="4A6B25"/>
          <w:sz w:val="15"/>
        </w:rPr>
        <w:t xml:space="preserve">3. </w:t>
      </w:r>
      <w:r>
        <w:rPr>
          <w:rFonts w:ascii="Calibri" w:hAnsi="Calibri"/>
          <w:b w:val="0"/>
          <w:color w:val="3A4A28"/>
          <w:sz w:val="17"/>
        </w:rPr>
        <w:t>OR Royalties 2024 Sustainability Report — 'ESG Industry Top-Rated' Sustainalytics, 'AA' MSCI, 'Prime' ISS, UN Global Compact commitment,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OR (OR Royalties Inc.), retrieved April 25,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