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OSCR</w:t>
      </w:r>
      <w:r>
        <w:rPr>
          <w:rFonts w:ascii="Calibri" w:hAnsi="Calibri"/>
          <w:b/>
          <w:color w:val="1A2010"/>
          <w:sz w:val="40"/>
        </w:rPr>
        <w:t xml:space="preserve">  Oscar Health, Inc.</w:t>
      </w:r>
    </w:p>
    <w:p>
      <w:pPr>
        <w:spacing w:after="120"/>
      </w:pPr>
      <w:r>
        <w:rPr>
          <w:rFonts w:ascii="Calibri" w:hAnsi="Calibri"/>
          <w:b/>
          <w:color w:val="6E8450"/>
          <w:sz w:val="18"/>
        </w:rPr>
        <w:t>GROWTH SLEEVE · 2026-03-28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Oscar Health is a technology-driven health insurance company focused on the ACA individual and family marketplace. Built on a full-stack technology platform with AI-powered member experience tools, Oscar operates in 20 states across 573 counties with 3.4 million members and $11.7 billion in 2025 revenue, challenging traditional insurers with a consumer-centric approach.</w:t>
      </w:r>
    </w:p>
    <w:p>
      <w:r>
        <w:rPr>
          <w:rFonts w:ascii="Calibri" w:hAnsi="Calibri"/>
          <w:b/>
          <w:color w:val="6E8450"/>
          <w:sz w:val="18"/>
        </w:rPr>
        <w:t>3,000 Employees · https://www.hioscar.com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Oscar scaled from a startup to $11.7B in 2025 revenue (28% YoY growth), achieved its first profitable year in 2024 ($25.4M net income), and grew footprint market share from 17% to 30% in a single year — a remarkable trajectory for a company disrupting established health insurers [1]. AI Deployment (2/2): Oscar activated 11 new AI use cases in 2025 with 10 more in pipeline, deployed Oswell (OpenAI-powered AI agent for member support), and implemented LLM-based care monitoring that reduced one major health system's readmission rates by nearly 10% [2]. These are shipped AI products generating measurable outcomes. Market Share (2/2): Footprint market share doubled from 17% to 30% in 2026 with 3.4 million members (58% YoY growth in paid members), making Oscar the fastest-growing ACA marketplace insurer [1]. Pipeline (1/2): Expansion to 20 states and 573 counties for 2026 with new affordable plan designs provides geographic growth visibility, but no specific next-gen products beyond incremental AI features are named with revenue projections [1][2]. R&amp;D Intensity (0/1): No evidence of R&amp;D spending above health insurance industry norms; innovation is embedded in operations rather than formal R&amp;D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Oscar's purpose — 'making a healthier life accessible and affordable for all' — is clear and identifies a real societal need (healthcare access), but it is not distinctive among health insurers; virtually every competitor articulates a similar mission [2]. The technology-first approach differentiates the execution but not the stated cause. Community Impact (1/2): Oscar expanded healthcare access to ACA populations across 20 states, with particular focus on underserved markets like Alabama and Mississippi in 2026 [2]. This serves communities that traditional insurers often neglect, though the motivation is commercial growth, not philanthropy. Employee Retention (0/2): No employee retention data, tenure statistics, or cultural survey results found. Insider Buying (1/2): CEO Bertolini has meaningful equity exposure and a track record of leadership conviction (previously led Aetna), but no evidence of specific open-market insider purchases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Oscar's financial profile reflects a hypergrowth health insurer transitioning toward profitability. FY2025 revenue of $11.7B grew 28% YoY with 2026 guidance of $18.7-19.0B (61% growth) — exceptional top-line momentum [1]. Forward P/E of 8.3x is remarkably cheap for a 61% revenue growth company. D/E of 50.9% is conservative, and the $5.5B in cash and investments against a $3.3B market cap means the company trades below book value. However, profit margin is -3.8% with a $443M net loss in 2025 (MLR spiked to 87.4%), and ROE is -44.4% [1]. The 2026 guidance for $250-450M operating earnings and MLR improvement to 82.4-83.4% signals the profitability inflection, but execution risk remains high. Revenue 5yr CAGR exceeds 100% (from $540M in 2021). Liquidity floor cleared: $90M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Oscar Health shows genuine disruption-minded purpose in rebuilding health insurance around technology and member experience, but the company's financial volatility — swinging from first profit in 2024 to $443M loss in 2025 — and heavy dependence on ACA subsidies reveal a business still playing for survival rather than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Oscar was founded in 2012 with a genuine purpose to fix a broken health insurance experience, and the technology-first approach represents a distinctive vision that connects to member well-being [2]. The expansion into underserved states (Alabama, Mississippi) suggests purpose beyond pure profit. However, the cause has not been tested through a multi-decade track record — it's genuine but young, scoring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Bertolini brings credibility from his Aetna tenure and has assembled a leadership team executing on aggressive growth targets [2]. The technology culture attracts talent differently than traditional insurers. However, rapid membership growth (58% YoY) strains organizational capacity, and no employee satisfaction or retention data is available to assess internal trust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Oscar's messaging consistently positions itself as the disruptor challenging a broken system, with competitive language focused on 'competitors pulled back or exited the market' rather than learning from rivals' strengths [1]. There is no evidence of acknowledging UnitedHealth's data capabilities, Kaiser's integrated model strengths, or other rivals as worthy competitors driving Oscar's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Oscar evolved from a pure consumer-facing insurtech to a full-stack insurance platform, adding network deals, administrative services, and AI-powered care management beyond simple plan design [2]. The willingness to price aggressively for growth in 2025 (accepting a $443M loss) and then reprice for profitability in 2026 (+28% rate increase) shows strategic adaptability. However, this flexibility is constrained by ACA regulatory dependence.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Bertolini demonstrated courage in pricing 2025 plans to capture 58% membership growth knowing it would mean near-term losses, betting that scale and 2026 repricing would deliver profitability [1]. Expanding into new states during an industry 'reset year' shows conviction. However, the heavy dependence on ACA enhanced subsidies — and the market contraction risk when they lapse — reveals that courage is partly subsidized by government policy rather than purely organic.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Oscar Health is the fastest-growing ACA marketplace insurer, with footprint market share doubling from 17% to 30% and 2026 revenue guided at $18.7-19.0B (61% YoY growth) [1]. At 8.3x forward P/E with $5.5B in cash and investments exceeding the $3.3B market cap, the stock trades below book value despite guiding to $250-450M in 2026 operating earnings — a $750M swing from 2025 losses [1]. The AI-native platform is a genuine differentiator: Oswell AI agent, 11 deployed use cases, and $60M in targeted AI-driven cost reductions provide operating leverage that traditional insurers cannot easily replicate [2]. CEO Bertolini's track record (Aetna transformation) and the 28% weighted average rate increase for 2026 position Oscar for a profitability inflection with massive top-line growth.</w:t>
      </w:r>
    </w:p>
    <w:p>
      <w:pPr>
        <w:spacing w:after="120"/>
      </w:pPr>
      <w:r>
        <w:rPr>
          <w:rFonts w:ascii="Calibri" w:hAnsi="Calibri"/>
          <w:b w:val="0"/>
          <w:color w:val="3A4A28"/>
          <w:sz w:val="20"/>
        </w:rPr>
        <w:t>The bear case is dominated by ACA subsidy dependence and execution risk. The enhanced premium tax credits that turbocharged ACA enrollment expired December 31, 2025, and Oscar expects the ACA marketplace to contract 20-30% in 2026 as members lose affordability [1][3]. Oscar's $443M net loss in 2025 (MLR spiked to 87.4% from 81.7%) demonstrates how quickly profitability can evaporate when medical costs rise, and the company has never sustained profitability for more than one year [1]. ROE of -44.4% and profit margin of -3.8% reflect a business model that has not yet proven it can generate consistent returns. The 28% rate increase could drive adverse selection if healthier members drop coverage. Political risk from potential ACA restructuring under the current administration creates existential uncertainty. Health insurance AI capabilities are rapidly commoditizing, and Oscar's technology moat may narrow as incumbents deploy similar tools at greater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profitability inflection — guided $250-450M operating earnings with MLR improvement to 82.4-83.4%, representing a $750M swing from 2025 losses driven by 28% rate increases and AI efficiencies [1]</w:t>
      </w:r>
    </w:p>
    <w:p>
      <w:pPr>
        <w:spacing w:before="40" w:after="40"/>
        <w:ind w:left="283"/>
      </w:pPr>
      <w:r>
        <w:rPr>
          <w:rFonts w:ascii="Calibri" w:hAnsi="Calibri"/>
          <w:b/>
          <w:color w:val="4A6B25"/>
          <w:sz w:val="20"/>
        </w:rPr>
        <w:t xml:space="preserve">2. </w:t>
      </w:r>
      <w:r>
        <w:rPr>
          <w:rFonts w:ascii="Calibri" w:hAnsi="Calibri"/>
          <w:b w:val="0"/>
          <w:color w:val="3A4A28"/>
          <w:sz w:val="20"/>
        </w:rPr>
        <w:t>Oswell AI agent launch and continued AI deployment (21+ use cases) driving $60M in administrative cost reductions and member experience differentiation that traditional insurers cannot match [2]</w:t>
      </w:r>
    </w:p>
    <w:p>
      <w:pPr>
        <w:spacing w:before="40" w:after="40"/>
        <w:ind w:left="283"/>
      </w:pPr>
      <w:r>
        <w:rPr>
          <w:rFonts w:ascii="Calibri" w:hAnsi="Calibri"/>
          <w:b/>
          <w:color w:val="4A6B25"/>
          <w:sz w:val="20"/>
        </w:rPr>
        <w:t xml:space="preserve">3. </w:t>
      </w:r>
      <w:r>
        <w:rPr>
          <w:rFonts w:ascii="Calibri" w:hAnsi="Calibri"/>
          <w:b w:val="0"/>
          <w:color w:val="3A4A28"/>
          <w:sz w:val="20"/>
        </w:rPr>
        <w:t>58% YoY paid membership growth to ~3.0M members with expansion to 20 states creating scale economics and negotiating leverage with provider networks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ACA enhanced premium tax credit expiration creating 20-30% projected marketplace contraction in 2026, directly threatening Oscar's membership base and revenue growth trajectory [1][3]</w:t>
      </w:r>
    </w:p>
    <w:p>
      <w:pPr>
        <w:spacing w:before="40" w:after="40"/>
        <w:ind w:left="283"/>
      </w:pPr>
      <w:r>
        <w:rPr>
          <w:rFonts w:ascii="Calibri" w:hAnsi="Calibri"/>
          <w:b/>
          <w:color w:val="4A6B25"/>
          <w:sz w:val="20"/>
        </w:rPr>
        <w:t xml:space="preserve">2. </w:t>
      </w:r>
      <w:r>
        <w:rPr>
          <w:rFonts w:ascii="Calibri" w:hAnsi="Calibri"/>
          <w:b w:val="0"/>
          <w:color w:val="3A4A28"/>
          <w:sz w:val="20"/>
        </w:rPr>
        <w:t>Medical loss ratio volatility — MLR spiked from 81.7% to 87.4% in a single year, demonstrating that elevated utilization and morbidity trends can rapidly destroy profitability despite pricing discipline [1]</w:t>
      </w:r>
    </w:p>
    <w:p>
      <w:pPr>
        <w:spacing w:before="40" w:after="40"/>
        <w:ind w:left="283"/>
      </w:pPr>
      <w:r>
        <w:rPr>
          <w:rFonts w:ascii="Calibri" w:hAnsi="Calibri"/>
          <w:b/>
          <w:color w:val="4A6B25"/>
          <w:sz w:val="20"/>
        </w:rPr>
        <w:t xml:space="preserve">3. </w:t>
      </w:r>
      <w:r>
        <w:rPr>
          <w:rFonts w:ascii="Calibri" w:hAnsi="Calibri"/>
          <w:b w:val="0"/>
          <w:color w:val="3A4A28"/>
          <w:sz w:val="20"/>
        </w:rPr>
        <w:t>Political existential risk — potential ACA restructuring or redirection of federal healthcare funding from insurers to individuals could fundamentally undermine Oscar's marketplace-dependent business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Health insurance is exposed to AI disruption from multiple angles [2]. AI-powered claims processing, underwriting, and care management tools are rapidly commoditizing — large incumbents (UnitedHealth, Anthem) and tech companies (Amazon, Google Health) can deploy similar AI capabilities at greater scale. Oscar's technology platform advantage could narrow as AI tools become more accessible. The core health insurance business involves regulated processes (state insurance approvals, actuarial requirements) that provide some protection, but the administrative and member experience functions that differentiate Oscar are precisely the areas most susceptible to AI replication. AI Opportunity (1/1): Oscar generates meaningful value from AI — Oswell (OpenAI-powered member agent), 11 deployed AI use cases in 2025, LLM-based care monitoring reducing readmissions by 10%, and $60M in AI-driven administrative cost reductions targeted for 2026 [2]. AI is core to Oscar's operating model, not an add-on.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Oscar Health Q4 2025 &amp; FY2025 Earnings Release — $11.7B revenue, $443M net loss, 2026 guidance $18.7-19.0B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FierceHealthcare, Investing.com, Yahoo Finance — Oscar Health AI strategy, Oswell launch, membership expansion, CEO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Seeking Alpha, Emerging Moats — Oscar Health ACA subsidy risk analysis, marketplace contraction projections, policy uncertainty,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OSCR (Oscar Health),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