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OSRH</w:t>
      </w:r>
      <w:r>
        <w:rPr>
          <w:rFonts w:ascii="Calibri" w:hAnsi="Calibri"/>
          <w:b/>
          <w:color w:val="1A2010"/>
          <w:sz w:val="40"/>
        </w:rPr>
        <w:t xml:space="preserve">  OSR Holdings, Inc.</w:t>
      </w:r>
    </w:p>
    <w:p>
      <w:pPr>
        <w:spacing w:after="120"/>
      </w:pPr>
      <w:r>
        <w:rPr>
          <w:rFonts w:ascii="Calibri" w:hAnsi="Calibri"/>
          <w:b/>
          <w:color w:val="6E8450"/>
          <w:sz w:val="18"/>
        </w:rPr>
        <w:t>GROWTH SLEEVE · 2026-04-28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OSR Holdings is a global healthcare holding company operating a hub-and-spoke model across immuno-oncology, regenerative biologics, and medical device technologies. Key assets include Vaximm AG (oral T-cell immunotherapy platform with VXM01 in Phase 2 for glioblastoma), South Korean subsidiary operations in regenerative medicine, and early-stage pipeline candidates targeting mesothelin, WT1, CEA, and PD-L1.</w:t>
      </w:r>
    </w:p>
    <w:p>
      <w:r>
        <w:rPr>
          <w:rFonts w:ascii="Calibri" w:hAnsi="Calibri"/>
          <w:b/>
          <w:color w:val="6E8450"/>
          <w:sz w:val="18"/>
        </w:rPr>
        <w:t>22 Employees · https://www.osr-holdings.com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OSR Holdings completed its business combination in February 2025, making it a newly public entity with no meaningful commercial product launches or revenue-generating pivots in the last five years [1]. The company remains in clinical and preclinical stages across its entire portfolio, with VXM01 for glioblastoma in Phase 2 as the most advanced asset. No product has reached market. AI Deployment (0/2): No evidence of AI-powered products or AI-driven internal cost savings. The company's focus is on traditional immunotherapy and biologics development without disclosed AI integration [2]. Market Share (0/2): OSR Holdings has no commercial products generating meaningful revenue — trailing revenue of $2.9M is from subsidiary services, not therapeutic sales. The company holds no market share in any therapeutic category. Product Pipeline (1/2): The Vaximm oral T-cell immunotherapy platform targeting multiple cancer antigens (VXM01, VXM04, VXM06, VXM08, VXM10) represents a genuine pipeline, with VXM01 in Phase 2 for glioblastoma [1]. However, timelines for regulatory milestones and revenue generation are uncertain. R&amp;D Intensity (1/1): As a clinical-stage biotech, virtually all spending is R&amp;D-directed, consistent with the industry model for pre-commercial biotechs.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OSR Holdings articulates a vision to 'simplify healthcare by building a pipeline of differentiated, high-impact treatments' guided by 'integrity, transparency, and partnership' [2]. This is clear and connects the company's work to patient outcomes, but it's a standard biotech mission statement — not distinctively inspirational or validated by execution. Community Impact (0/2): No evidence of charitable programs, community investment, or initiatives beyond standard corporate governance for a 22-person company. Employee Retention (0/2): With only 22 employees and a newly constituted public entity (February 2025 business combination), there is no track record of employee retention or cultural distinction to evaluate. CEO Kuk Hyoun Hwang has led since March 2020, providing some leadership continuity through the business combination [2]. Insider Buying (0/2): No evidence of meaningful net insider buying. As a micro-cap biotech with limited public float, insider transaction data is minimal.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825,171 shares × $0.72 stock price = $594,123 daily dollar volume, below the $1,000,000 minimum threshold [3]. Infrastructure score is automatically set to 0 regardless of other metrics. For reference, the underlying financials are extremely weak: D/E of 3.5% is low (minimal debt), but ROE of -20.0%, profit margin of 0.0%, revenue of only $2.9M declining 58.3% YoY, and no forward P/E available all reflect a pre-commercial biotech with no path to near-term profitability [1][3]. The company reported losses of $0.23 per share in the most recent quarter on $0.38M of revenue. At a $24M market cap, OSRH is a speculative micro-cap unsuitable for IOWN portfolio inclusion.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OSR Holdings is too nascent to demonstrate meaningful infinite game characteristics. As a newly public entity formed through a February 2025 business combination with 22 employees and $2.9M in revenue, the company has not had the opportunity to prove consistency of purpose through cycles, build trusting teams at scale, or demonstrate existential flexibility. The clinical-stage pipeline represents scientific ambition but not a validated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OSR Holdings' stated mission to simplify healthcare through differentiated treatments reflects genuine scientific ambition, and the immuno-oncology pipeline targeting glioblastoma (a devastating cancer with poor survival rates) connects to a meaningful cause [2]. However, the company is too young as a public entity to have validated this cause through consistent execution or strategic sacrifice. The mission is aspirational rather than proven. Score: 1 weighted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22 employees across the US, Switzerland, and South Korea, there is insufficient organizational scale to evaluate trust dynamics. CEO Hwang has been in leadership since 2020 and COO Yeiseok Kim was recently appointed, but no evidence of employee empowerment, cultural distinction, or retention metrics exists for a company this small and new [2].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OSR Holdings competes in immuno-oncology against formidable rivals including BioNTech, Moderna, and major pharma immuno-oncology programs without framing competition in combative terms. The company's hub-and-spoke model and oral T-cell differentiation focus on carving a unique niche rather than defeating specific competitors [2].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February 2025 business combination itself — merging OSR Holdings Co., Ltd. with the public entity to consolidate immuno-oncology, regenerative biologics, and medical devices under one umbrella — represents a meaningful structural transformation [1]. The appointment of Dr. Andreas Niethammer as CEO of Vaximm AG to lead the next phase of immuno-oncology expansion shows willingness to reorganize for strategic purposes. However, these are formative events for a new company rather than pivots from an established position.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investments or strategic sacrifices. As a newly formed public company with $24M market cap and 22 employees, OSR Holdings has not faced the tests that reveal courage to lead — no downturns navigated, no profitable businesses walked away from, no costly long-term bets documented [1]. The business combination itself was a formative event rather than a courageous strategic choice.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OSR Holdings offers highly speculative exposure to an oral T-cell immunotherapy platform through its Vaximm AG subsidiary, with VXM01 in Phase 2 for glioblastoma — a devastating cancer with limited treatment options and significant unmet medical need [1]. The hub-and-spoke model across immuno-oncology, regenerative biologics, and medical devices provides portfolio diversification within healthcare. At a $24M market cap, any positive clinical readout on VXM01 could drive substantial upside from a low base. CEO Hwang brings healthcare investment experience and the appointment of scientific co-founder Dr. Niethammer to lead Vaximm suggests renewed focus on the most valuable asset [2].</w:t>
      </w:r>
    </w:p>
    <w:p>
      <w:pPr>
        <w:spacing w:after="120"/>
      </w:pPr>
      <w:r>
        <w:rPr>
          <w:rFonts w:ascii="Calibri" w:hAnsi="Calibri"/>
          <w:b w:val="0"/>
          <w:color w:val="3A4A28"/>
          <w:sz w:val="20"/>
        </w:rPr>
        <w:t>The bear case is severe and multifaceted. OSRH fails the IOWN liquidity floor with daily dollar volume of only $594K, making it untradeable for any portfolio of meaningful size [3]. Revenue of $2.9M (declining 58% YoY) and net losses of $27M in 2025 on a $24M market cap indicate the company is burning cash faster than its enterprise value [1]. No products are commercialized, and Phase 2 glioblastoma trials have historically high failure rates — over 95% of oncology drug candidates fail in clinical development. The 22-person team must execute across three continents (US, Switzerland, South Korea) with minimal resources while competing against multi-billion-dollar pharma companies with AI-equipped R&amp;D operations. Dilution risk is extreme: the company will need to raise capital repeatedly to fund clinical trials, likely at punishing terms given the micro-cap valuation and limited institutional interest [3]. This is a speculative pre-revenue biotech unsuitable for IOWN's return-on-intention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VXM01 Phase 2 clinical data readout in glioblastoma — positive results could validate the oral T-cell immunotherapy platform and drive partnership or licensing interest from larger pharma companies [1]</w:t>
      </w:r>
    </w:p>
    <w:p>
      <w:pPr>
        <w:spacing w:before="40" w:after="40"/>
        <w:ind w:left="283"/>
      </w:pPr>
      <w:r>
        <w:rPr>
          <w:rFonts w:ascii="Calibri" w:hAnsi="Calibri"/>
          <w:b/>
          <w:color w:val="4A6B25"/>
          <w:sz w:val="20"/>
        </w:rPr>
        <w:t xml:space="preserve">2. </w:t>
      </w:r>
      <w:r>
        <w:rPr>
          <w:rFonts w:ascii="Calibri" w:hAnsi="Calibri"/>
          <w:b w:val="0"/>
          <w:color w:val="3A4A28"/>
          <w:sz w:val="20"/>
        </w:rPr>
        <w:t>Potential licensing or partnership deals for pipeline assets, which CEO Hwang has indicated as a strategic priority to fund development without excessive dilution [2]</w:t>
      </w:r>
    </w:p>
    <w:p>
      <w:pPr>
        <w:spacing w:before="40" w:after="40"/>
        <w:ind w:left="283"/>
      </w:pPr>
      <w:r>
        <w:rPr>
          <w:rFonts w:ascii="Calibri" w:hAnsi="Calibri"/>
          <w:b/>
          <w:color w:val="4A6B25"/>
          <w:sz w:val="20"/>
        </w:rPr>
        <w:t xml:space="preserve">3. </w:t>
      </w:r>
      <w:r>
        <w:rPr>
          <w:rFonts w:ascii="Calibri" w:hAnsi="Calibri"/>
          <w:b w:val="0"/>
          <w:color w:val="3A4A28"/>
          <w:sz w:val="20"/>
        </w:rPr>
        <w:t>Expansion of the regenerative biologics and medical device subsidiaries in South Korea, where the company has existing operations and relationships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$594K daily dollar volume makes OSRH untradeable for institutional investors and creates severe execution risk on any position entry or exit [3]</w:t>
      </w:r>
    </w:p>
    <w:p>
      <w:pPr>
        <w:spacing w:before="40" w:after="40"/>
        <w:ind w:left="283"/>
      </w:pPr>
      <w:r>
        <w:rPr>
          <w:rFonts w:ascii="Calibri" w:hAnsi="Calibri"/>
          <w:b/>
          <w:color w:val="4A6B25"/>
          <w:sz w:val="20"/>
        </w:rPr>
        <w:t xml:space="preserve">2. </w:t>
      </w:r>
      <w:r>
        <w:rPr>
          <w:rFonts w:ascii="Calibri" w:hAnsi="Calibri"/>
          <w:b w:val="0"/>
          <w:color w:val="3A4A28"/>
          <w:sz w:val="20"/>
        </w:rPr>
        <w:t>Cash burn and dilution — $27M net loss in 2025 on $24M market cap means the company is consuming more than its enterprise value annually, requiring repeated capital raises at potentially punishing valuations [1]</w:t>
      </w:r>
    </w:p>
    <w:p>
      <w:pPr>
        <w:spacing w:before="40" w:after="40"/>
        <w:ind w:left="283"/>
      </w:pPr>
      <w:r>
        <w:rPr>
          <w:rFonts w:ascii="Calibri" w:hAnsi="Calibri"/>
          <w:b/>
          <w:color w:val="4A6B25"/>
          <w:sz w:val="20"/>
        </w:rPr>
        <w:t xml:space="preserve">3. </w:t>
      </w:r>
      <w:r>
        <w:rPr>
          <w:rFonts w:ascii="Calibri" w:hAnsi="Calibri"/>
          <w:b w:val="0"/>
          <w:color w:val="3A4A28"/>
          <w:sz w:val="20"/>
        </w:rPr>
        <w:t>Clinical development risk — 95%+ failure rate in oncology drug development, single-digit employee count per program, and competition from AI-equipped pharma giants make successful commercialization of VXM01 or any pipeline asset highly uncertain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OSR Holdings' core business — developing immunotherapy and regenerative biologics — has moderate protection from AI disruption. AI cannot replace the physical clinical trials, manufacturing, and regulatory processes required to bring therapeutics to market [2]. However, AI is rapidly transforming drug discovery, clinical trial design, and biomarker identification, meaning AI-native biotech competitors could develop competing therapies faster and cheaper. For a small 22-person company with limited resources, the inability to adopt AI-driven drug development tools at scale is itself a competitive vulnerability. The oral T-cell immunotherapy platform is scientifically differentiated, but larger AI-equipped competitors in immuno-oncology (BioNTech, Moderna, major pharma AI partnerships) could develop superior candidates. AI Opportunity (0/1): No evidence that OSR Holdings generates any AI-related revenue or has deployed AI in its drug development process. The company's pipeline appears to rely on traditional immunology approaches without AI augmentation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OSR Holdings FY2025 financial results — $2.9M revenue (-58% YoY), $27M net loss, EPS -$0.23/quarter; Yahoo Finance, Markets Daily,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OSR Holdings leadership and strategy — CEO Kuk Hyoun Hwang, COO Yeiseok Kim, Dr. Niethammer appointed Vaximm AG CEO, hub-and-spoke model, mission statement; company website (osr-holdings.com), Nasdaq press release,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OSRH — key statistics including D/E 3.5%, avg volume 825K, stock price $0.72, market cap $24M;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